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1A" w:rsidRPr="00164E0D" w:rsidRDefault="00A34F1A" w:rsidP="00A34F1A">
      <w:pPr>
        <w:pStyle w:val="a5"/>
        <w:spacing w:line="200" w:lineRule="atLeast"/>
        <w:jc w:val="center"/>
        <w:outlineLvl w:val="3"/>
        <w:rPr>
          <w:b/>
          <w:bCs/>
          <w:sz w:val="32"/>
          <w:szCs w:val="32"/>
        </w:rPr>
      </w:pPr>
      <w:r w:rsidRPr="00164E0D">
        <w:rPr>
          <w:rFonts w:hint="eastAsia"/>
          <w:b/>
          <w:bCs/>
          <w:sz w:val="32"/>
          <w:szCs w:val="32"/>
        </w:rPr>
        <w:t>天津职业技术师范大学</w:t>
      </w:r>
    </w:p>
    <w:p w:rsidR="00A34F1A" w:rsidRPr="00164E0D" w:rsidRDefault="00A34F1A" w:rsidP="00A34F1A">
      <w:pPr>
        <w:pStyle w:val="a5"/>
        <w:spacing w:line="200" w:lineRule="atLeast"/>
        <w:jc w:val="center"/>
        <w:outlineLvl w:val="3"/>
        <w:rPr>
          <w:b/>
          <w:bCs/>
          <w:sz w:val="32"/>
          <w:szCs w:val="32"/>
        </w:rPr>
      </w:pPr>
      <w:r w:rsidRPr="00164E0D">
        <w:rPr>
          <w:rFonts w:hint="eastAsia"/>
          <w:b/>
          <w:bCs/>
          <w:sz w:val="32"/>
          <w:szCs w:val="32"/>
        </w:rPr>
        <w:t>信息技术工程学院、软件工程学院调</w:t>
      </w:r>
      <w:bookmarkStart w:id="0" w:name="_GoBack"/>
      <w:bookmarkEnd w:id="0"/>
      <w:r w:rsidRPr="00164E0D">
        <w:rPr>
          <w:rFonts w:hint="eastAsia"/>
          <w:b/>
          <w:bCs/>
          <w:sz w:val="32"/>
          <w:szCs w:val="32"/>
        </w:rPr>
        <w:t>剂</w:t>
      </w:r>
    </w:p>
    <w:p w:rsidR="00A34F1A" w:rsidRPr="00164E0D" w:rsidRDefault="00A34F1A" w:rsidP="00A34F1A">
      <w:pPr>
        <w:pStyle w:val="a5"/>
        <w:spacing w:line="200" w:lineRule="atLeast"/>
        <w:outlineLvl w:val="3"/>
        <w:rPr>
          <w:b/>
          <w:bCs/>
          <w:sz w:val="28"/>
          <w:szCs w:val="28"/>
        </w:rPr>
      </w:pPr>
      <w:r w:rsidRPr="00164E0D">
        <w:rPr>
          <w:rFonts w:hint="eastAsia"/>
          <w:b/>
          <w:bCs/>
          <w:sz w:val="28"/>
          <w:szCs w:val="28"/>
        </w:rPr>
        <w:t>一、</w:t>
      </w:r>
      <w:r w:rsidRPr="00164E0D">
        <w:rPr>
          <w:b/>
          <w:bCs/>
          <w:sz w:val="28"/>
          <w:szCs w:val="28"/>
        </w:rPr>
        <w:t>学院</w:t>
      </w:r>
      <w:r w:rsidRPr="00164E0D">
        <w:rPr>
          <w:rFonts w:hint="eastAsia"/>
          <w:b/>
          <w:bCs/>
          <w:sz w:val="28"/>
          <w:szCs w:val="28"/>
        </w:rPr>
        <w:t>简介</w:t>
      </w:r>
    </w:p>
    <w:p w:rsidR="00955AD5" w:rsidRPr="00164E0D" w:rsidRDefault="00955AD5" w:rsidP="00A34F1A">
      <w:pPr>
        <w:pStyle w:val="a5"/>
        <w:spacing w:line="360" w:lineRule="auto"/>
        <w:ind w:firstLineChars="200" w:firstLine="480"/>
        <w:jc w:val="both"/>
        <w:outlineLvl w:val="3"/>
      </w:pPr>
      <w:r w:rsidRPr="00164E0D">
        <w:rPr>
          <w:rFonts w:hint="eastAsia"/>
        </w:rPr>
        <w:t>信息技术工程学院、软件工程学院拥有</w:t>
      </w:r>
      <w:r w:rsidR="00A84A78" w:rsidRPr="00164E0D">
        <w:rPr>
          <w:rFonts w:hint="eastAsia"/>
        </w:rPr>
        <w:t>软件工程一级硕士点</w:t>
      </w:r>
      <w:r w:rsidRPr="00164E0D">
        <w:rPr>
          <w:rFonts w:hint="eastAsia"/>
        </w:rPr>
        <w:t>、教育技术学</w:t>
      </w:r>
      <w:r w:rsidR="00A84A78" w:rsidRPr="00164E0D">
        <w:rPr>
          <w:rFonts w:hint="eastAsia"/>
        </w:rPr>
        <w:t>二级硕士点</w:t>
      </w:r>
      <w:r w:rsidRPr="00164E0D">
        <w:rPr>
          <w:rFonts w:hint="eastAsia"/>
        </w:rPr>
        <w:t>和</w:t>
      </w:r>
      <w:r w:rsidRPr="00164E0D">
        <w:t>1</w:t>
      </w:r>
      <w:r w:rsidRPr="00164E0D">
        <w:rPr>
          <w:rFonts w:hint="eastAsia"/>
        </w:rPr>
        <w:t>个职业技术教育领域信息技术方向专业硕士学位点；设有软件工程、计算机科学与技术、教育技术学、网络工程和数字媒体技术</w:t>
      </w:r>
      <w:r w:rsidRPr="00164E0D">
        <w:t>5</w:t>
      </w:r>
      <w:r w:rsidRPr="00164E0D">
        <w:rPr>
          <w:rFonts w:hint="eastAsia"/>
        </w:rPr>
        <w:t>个本科专业；其中，教育技术学和网络工程专业为天津市品牌专业，计算机科学与技术（高本、技本）为天津市优势特色专业。网络工程和软件工程专业为天津市应用型专业。设有软件工程、网络工程、计算机工程、教育技术、数字媒体技术</w:t>
      </w:r>
      <w:r w:rsidRPr="00164E0D">
        <w:t>5</w:t>
      </w:r>
      <w:r w:rsidRPr="00164E0D">
        <w:rPr>
          <w:rFonts w:hint="eastAsia"/>
        </w:rPr>
        <w:t>个系及计算机基础教学中心，和实验实训中心、</w:t>
      </w:r>
      <w:r w:rsidRPr="00164E0D">
        <w:rPr>
          <w:rFonts w:hint="eastAsia"/>
          <w:sz w:val="21"/>
          <w:szCs w:val="21"/>
        </w:rPr>
        <w:t>计算机基础教学实验中心</w:t>
      </w:r>
      <w:r w:rsidRPr="00164E0D">
        <w:t>2</w:t>
      </w:r>
      <w:r w:rsidRPr="00164E0D">
        <w:rPr>
          <w:rFonts w:cs="华文细黑" w:hint="eastAsia"/>
        </w:rPr>
        <w:t>个</w:t>
      </w:r>
      <w:r w:rsidRPr="00164E0D">
        <w:rPr>
          <w:rFonts w:asciiTheme="minorHAnsi" w:hAnsiTheme="minorHAnsi" w:cs="华文细黑" w:hint="eastAsia"/>
        </w:rPr>
        <w:t>实验中心</w:t>
      </w:r>
      <w:r w:rsidRPr="00164E0D">
        <w:rPr>
          <w:rFonts w:hint="eastAsia"/>
        </w:rPr>
        <w:t>。拥有“智能计算及应用”、“计算机控制技术”、“高性能计算与工程软件”、“教育信息技术</w:t>
      </w:r>
      <w:r w:rsidRPr="00164E0D">
        <w:t>\</w:t>
      </w:r>
      <w:r w:rsidRPr="00164E0D">
        <w:rPr>
          <w:rFonts w:hint="eastAsia"/>
        </w:rPr>
        <w:t>数字媒体”和“网络空间安全”等</w:t>
      </w:r>
      <w:r w:rsidRPr="00164E0D">
        <w:t>5</w:t>
      </w:r>
      <w:r w:rsidRPr="00164E0D">
        <w:rPr>
          <w:rFonts w:hint="eastAsia"/>
        </w:rPr>
        <w:t>个科研研究所。</w:t>
      </w:r>
    </w:p>
    <w:p w:rsidR="00955AD5" w:rsidRPr="00164E0D" w:rsidRDefault="00955AD5" w:rsidP="00955AD5">
      <w:pPr>
        <w:pStyle w:val="a5"/>
        <w:spacing w:line="360" w:lineRule="auto"/>
        <w:ind w:firstLineChars="200" w:firstLine="480"/>
        <w:jc w:val="both"/>
        <w:outlineLvl w:val="3"/>
      </w:pPr>
      <w:r w:rsidRPr="00164E0D">
        <w:rPr>
          <w:rFonts w:hint="eastAsia"/>
        </w:rPr>
        <w:t>现有教师</w:t>
      </w:r>
      <w:r w:rsidRPr="00164E0D">
        <w:t>80</w:t>
      </w:r>
      <w:r w:rsidRPr="00164E0D">
        <w:rPr>
          <w:rFonts w:hint="eastAsia"/>
        </w:rPr>
        <w:t>余人，其中</w:t>
      </w:r>
      <w:r w:rsidRPr="00164E0D">
        <w:t>55%</w:t>
      </w:r>
      <w:r w:rsidRPr="00164E0D">
        <w:rPr>
          <w:rFonts w:hint="eastAsia"/>
        </w:rPr>
        <w:t>的专任教师具有高级职称，具有博士学位教师</w:t>
      </w:r>
      <w:r w:rsidRPr="00164E0D">
        <w:t>26</w:t>
      </w:r>
      <w:r w:rsidRPr="00164E0D">
        <w:rPr>
          <w:rFonts w:hint="eastAsia"/>
        </w:rPr>
        <w:t>人，双高教师占专任教师比例达到了</w:t>
      </w:r>
      <w:r w:rsidRPr="00164E0D">
        <w:t>45%</w:t>
      </w:r>
      <w:r w:rsidRPr="00164E0D">
        <w:rPr>
          <w:rFonts w:hint="eastAsia"/>
        </w:rPr>
        <w:t>。全日制本科在校生近</w:t>
      </w:r>
      <w:r w:rsidRPr="00164E0D">
        <w:t>2400</w:t>
      </w:r>
      <w:r w:rsidRPr="00164E0D">
        <w:rPr>
          <w:rFonts w:hint="eastAsia"/>
        </w:rPr>
        <w:t>人，全日制硕士研究生近</w:t>
      </w:r>
      <w:r w:rsidRPr="00164E0D">
        <w:t>50</w:t>
      </w:r>
      <w:r w:rsidRPr="00164E0D">
        <w:rPr>
          <w:rFonts w:hint="eastAsia"/>
        </w:rPr>
        <w:t>人，留学生</w:t>
      </w:r>
      <w:r w:rsidRPr="00164E0D">
        <w:t>10</w:t>
      </w:r>
      <w:r w:rsidRPr="00164E0D">
        <w:rPr>
          <w:rFonts w:hint="eastAsia"/>
        </w:rPr>
        <w:t>余人。拥有天津市教学名师</w:t>
      </w:r>
      <w:r w:rsidRPr="00164E0D">
        <w:t>2</w:t>
      </w:r>
      <w:r w:rsidRPr="00164E0D">
        <w:rPr>
          <w:rFonts w:hint="eastAsia"/>
        </w:rPr>
        <w:t>名，校级优秀主讲教师</w:t>
      </w:r>
      <w:r w:rsidRPr="00164E0D">
        <w:t>11</w:t>
      </w:r>
      <w:r w:rsidRPr="00164E0D">
        <w:rPr>
          <w:rFonts w:hint="eastAsia"/>
        </w:rPr>
        <w:t>名。</w:t>
      </w:r>
      <w:r w:rsidRPr="00164E0D">
        <w:t>131</w:t>
      </w:r>
      <w:r w:rsidRPr="00164E0D">
        <w:rPr>
          <w:rFonts w:hint="eastAsia"/>
        </w:rPr>
        <w:t>人才工程第</w:t>
      </w:r>
      <w:r w:rsidRPr="00164E0D">
        <w:t>2</w:t>
      </w:r>
      <w:r w:rsidRPr="00164E0D">
        <w:rPr>
          <w:rFonts w:hint="eastAsia"/>
        </w:rPr>
        <w:t>层次人才</w:t>
      </w:r>
      <w:r w:rsidRPr="00164E0D">
        <w:t>1</w:t>
      </w:r>
      <w:r w:rsidRPr="00164E0D">
        <w:rPr>
          <w:rFonts w:hint="eastAsia"/>
        </w:rPr>
        <w:t>人，</w:t>
      </w:r>
      <w:r w:rsidRPr="00164E0D">
        <w:t>131</w:t>
      </w:r>
      <w:r w:rsidRPr="00164E0D">
        <w:rPr>
          <w:rFonts w:hint="eastAsia"/>
        </w:rPr>
        <w:t>人才工程第</w:t>
      </w:r>
      <w:r w:rsidRPr="00164E0D">
        <w:t>3</w:t>
      </w:r>
      <w:r w:rsidRPr="00164E0D">
        <w:rPr>
          <w:rFonts w:hint="eastAsia"/>
        </w:rPr>
        <w:t>层次人才</w:t>
      </w:r>
      <w:r w:rsidRPr="00164E0D">
        <w:t>5</w:t>
      </w:r>
      <w:r w:rsidRPr="00164E0D">
        <w:rPr>
          <w:rFonts w:hint="eastAsia"/>
        </w:rPr>
        <w:t>人。享受国家留学基金委资助计划</w:t>
      </w:r>
      <w:r w:rsidRPr="00164E0D">
        <w:t>6</w:t>
      </w:r>
      <w:r w:rsidRPr="00164E0D">
        <w:rPr>
          <w:rFonts w:hint="eastAsia"/>
        </w:rPr>
        <w:t>人。</w:t>
      </w:r>
      <w:r w:rsidRPr="00164E0D">
        <w:t xml:space="preserve">  </w:t>
      </w:r>
    </w:p>
    <w:p w:rsidR="00955AD5" w:rsidRPr="00164E0D" w:rsidRDefault="00955AD5" w:rsidP="00955AD5">
      <w:pPr>
        <w:pStyle w:val="a5"/>
        <w:spacing w:line="360" w:lineRule="auto"/>
        <w:ind w:firstLineChars="200" w:firstLine="480"/>
        <w:jc w:val="both"/>
        <w:outlineLvl w:val="3"/>
      </w:pPr>
      <w:r w:rsidRPr="00164E0D">
        <w:rPr>
          <w:rFonts w:hint="eastAsia"/>
        </w:rPr>
        <w:t>现有天津市精品课</w:t>
      </w:r>
      <w:r w:rsidRPr="00164E0D">
        <w:t>1</w:t>
      </w:r>
      <w:r w:rsidRPr="00164E0D">
        <w:rPr>
          <w:rFonts w:hint="eastAsia"/>
        </w:rPr>
        <w:t>门；校级精品课程</w:t>
      </w:r>
      <w:r w:rsidRPr="00164E0D">
        <w:t>5</w:t>
      </w:r>
      <w:r w:rsidRPr="00164E0D">
        <w:rPr>
          <w:rFonts w:hint="eastAsia"/>
        </w:rPr>
        <w:t>门；学院拥有教学仪器设备总值</w:t>
      </w:r>
      <w:r w:rsidRPr="00164E0D">
        <w:t>2300</w:t>
      </w:r>
      <w:r w:rsidRPr="00164E0D">
        <w:rPr>
          <w:rFonts w:hint="eastAsia"/>
        </w:rPr>
        <w:t>余万元，实验室总面积</w:t>
      </w:r>
      <w:r w:rsidRPr="00164E0D">
        <w:t>2995</w:t>
      </w:r>
      <w:r w:rsidRPr="00164E0D">
        <w:rPr>
          <w:rFonts w:hint="eastAsia"/>
        </w:rPr>
        <w:t>㎡，教学仪器设备</w:t>
      </w:r>
      <w:r w:rsidRPr="00164E0D">
        <w:t>3400</w:t>
      </w:r>
      <w:r w:rsidRPr="00164E0D">
        <w:rPr>
          <w:rFonts w:hint="eastAsia"/>
        </w:rPr>
        <w:t>余台套。实行“双证书”的人才培养模式，培养“一体化双师型”职教师资和应用型高级专门人才。网络工程、计算机科学与技术和软件工程专业采用华为大数据</w:t>
      </w:r>
      <w:r w:rsidRPr="00164E0D">
        <w:t>HCNA</w:t>
      </w:r>
      <w:r w:rsidRPr="00164E0D">
        <w:rPr>
          <w:rFonts w:hint="eastAsia"/>
        </w:rPr>
        <w:t>行业认证，教育技术学和数字媒体技术专业采用</w:t>
      </w:r>
      <w:r w:rsidRPr="00164E0D">
        <w:t>Unity</w:t>
      </w:r>
      <w:r w:rsidRPr="00164E0D">
        <w:rPr>
          <w:rFonts w:hint="eastAsia"/>
        </w:rPr>
        <w:t>行业证书。</w:t>
      </w:r>
    </w:p>
    <w:p w:rsidR="00955AD5" w:rsidRPr="00164E0D" w:rsidRDefault="00955AD5" w:rsidP="00955AD5">
      <w:pPr>
        <w:pStyle w:val="a5"/>
        <w:spacing w:line="360" w:lineRule="auto"/>
        <w:ind w:firstLineChars="200" w:firstLine="480"/>
        <w:jc w:val="both"/>
        <w:outlineLvl w:val="3"/>
      </w:pPr>
      <w:r w:rsidRPr="00164E0D">
        <w:rPr>
          <w:rFonts w:hint="eastAsia"/>
        </w:rPr>
        <w:t>近三年学院进账科研经费</w:t>
      </w:r>
      <w:r w:rsidRPr="00164E0D">
        <w:t>300</w:t>
      </w:r>
      <w:r w:rsidRPr="00164E0D">
        <w:rPr>
          <w:rFonts w:hint="eastAsia"/>
        </w:rPr>
        <w:t>余万元；立项省部级及以上科研项目</w:t>
      </w:r>
      <w:r w:rsidRPr="00164E0D">
        <w:t>12</w:t>
      </w:r>
      <w:r w:rsidRPr="00164E0D">
        <w:rPr>
          <w:rFonts w:hint="eastAsia"/>
        </w:rPr>
        <w:t>项，其中国家级科研项目</w:t>
      </w:r>
      <w:r w:rsidRPr="00164E0D">
        <w:t>4</w:t>
      </w:r>
      <w:r w:rsidRPr="00164E0D">
        <w:rPr>
          <w:rFonts w:hint="eastAsia"/>
        </w:rPr>
        <w:t>项；签订横向课题</w:t>
      </w:r>
      <w:r w:rsidRPr="00164E0D">
        <w:t>11</w:t>
      </w:r>
      <w:r w:rsidRPr="00164E0D">
        <w:rPr>
          <w:rFonts w:hint="eastAsia"/>
        </w:rPr>
        <w:t>项；发表论文</w:t>
      </w:r>
      <w:r w:rsidRPr="00164E0D">
        <w:t>80</w:t>
      </w:r>
      <w:r w:rsidRPr="00164E0D">
        <w:rPr>
          <w:rFonts w:hint="eastAsia"/>
        </w:rPr>
        <w:t>余篇，其中</w:t>
      </w:r>
      <w:r w:rsidRPr="00164E0D">
        <w:t>SCI</w:t>
      </w:r>
      <w:r w:rsidRPr="00164E0D">
        <w:rPr>
          <w:rFonts w:hint="eastAsia"/>
        </w:rPr>
        <w:lastRenderedPageBreak/>
        <w:t>收录</w:t>
      </w:r>
      <w:r w:rsidRPr="00164E0D">
        <w:t>4</w:t>
      </w:r>
      <w:r w:rsidRPr="00164E0D">
        <w:rPr>
          <w:rFonts w:hint="eastAsia"/>
        </w:rPr>
        <w:t>篇，</w:t>
      </w:r>
      <w:r w:rsidRPr="00164E0D">
        <w:t>EI</w:t>
      </w:r>
      <w:r w:rsidRPr="00164E0D">
        <w:rPr>
          <w:rFonts w:hint="eastAsia"/>
        </w:rPr>
        <w:t>收录</w:t>
      </w:r>
      <w:r w:rsidRPr="00164E0D">
        <w:t>21</w:t>
      </w:r>
      <w:r w:rsidRPr="00164E0D">
        <w:rPr>
          <w:rFonts w:hint="eastAsia"/>
        </w:rPr>
        <w:t>篇，核心期刊收录</w:t>
      </w:r>
      <w:r w:rsidRPr="00164E0D">
        <w:t>17</w:t>
      </w:r>
      <w:r w:rsidRPr="00164E0D">
        <w:rPr>
          <w:rFonts w:hint="eastAsia"/>
        </w:rPr>
        <w:t>篇；授权软件著作权</w:t>
      </w:r>
      <w:r w:rsidRPr="00164E0D">
        <w:t>46</w:t>
      </w:r>
      <w:r w:rsidRPr="00164E0D">
        <w:rPr>
          <w:rFonts w:hint="eastAsia"/>
        </w:rPr>
        <w:t>项，实用新型专利</w:t>
      </w:r>
      <w:r w:rsidRPr="00164E0D">
        <w:t>12</w:t>
      </w:r>
      <w:r w:rsidRPr="00164E0D">
        <w:rPr>
          <w:rFonts w:hint="eastAsia"/>
        </w:rPr>
        <w:t>项；出版教材</w:t>
      </w:r>
      <w:r w:rsidRPr="00164E0D">
        <w:t>5</w:t>
      </w:r>
      <w:r w:rsidRPr="00164E0D">
        <w:rPr>
          <w:rFonts w:hint="eastAsia"/>
        </w:rPr>
        <w:t>部。</w:t>
      </w:r>
    </w:p>
    <w:p w:rsidR="00A34F1A" w:rsidRPr="00164E0D" w:rsidRDefault="00A34F1A" w:rsidP="00A34F1A">
      <w:pPr>
        <w:pStyle w:val="a5"/>
        <w:spacing w:line="200" w:lineRule="atLeast"/>
        <w:outlineLvl w:val="3"/>
        <w:rPr>
          <w:b/>
          <w:bCs/>
          <w:sz w:val="28"/>
          <w:szCs w:val="28"/>
        </w:rPr>
      </w:pPr>
      <w:r w:rsidRPr="00164E0D">
        <w:rPr>
          <w:rFonts w:hint="eastAsia"/>
          <w:b/>
          <w:bCs/>
          <w:sz w:val="28"/>
          <w:szCs w:val="28"/>
        </w:rPr>
        <w:t>二、研究生招生专业目录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519"/>
        <w:gridCol w:w="1660"/>
        <w:gridCol w:w="3188"/>
      </w:tblGrid>
      <w:tr w:rsidR="00164E0D" w:rsidRPr="00164E0D" w:rsidTr="0087487B">
        <w:trPr>
          <w:trHeight w:val="910"/>
          <w:jc w:val="center"/>
        </w:trPr>
        <w:tc>
          <w:tcPr>
            <w:tcW w:w="2155" w:type="dxa"/>
            <w:vAlign w:val="center"/>
          </w:tcPr>
          <w:p w:rsidR="0087487B" w:rsidRPr="00164E0D" w:rsidRDefault="0087487B" w:rsidP="00851420">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硕士研究生招</w:t>
            </w:r>
          </w:p>
          <w:p w:rsidR="0087487B" w:rsidRPr="00164E0D" w:rsidRDefault="0087487B" w:rsidP="00851420">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生专业名称</w:t>
            </w:r>
          </w:p>
        </w:tc>
        <w:tc>
          <w:tcPr>
            <w:tcW w:w="1519" w:type="dxa"/>
            <w:vAlign w:val="center"/>
          </w:tcPr>
          <w:p w:rsidR="0087487B" w:rsidRPr="00164E0D" w:rsidRDefault="0087487B" w:rsidP="0087487B">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学习方式</w:t>
            </w:r>
          </w:p>
        </w:tc>
        <w:tc>
          <w:tcPr>
            <w:tcW w:w="1660" w:type="dxa"/>
            <w:vAlign w:val="center"/>
          </w:tcPr>
          <w:p w:rsidR="0087487B" w:rsidRPr="00164E0D" w:rsidRDefault="0087487B" w:rsidP="00851420">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专业代码</w:t>
            </w:r>
          </w:p>
        </w:tc>
        <w:tc>
          <w:tcPr>
            <w:tcW w:w="3188" w:type="dxa"/>
            <w:vAlign w:val="center"/>
          </w:tcPr>
          <w:p w:rsidR="0087487B" w:rsidRPr="00164E0D" w:rsidRDefault="0087487B" w:rsidP="00851420">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研究方向</w:t>
            </w:r>
          </w:p>
        </w:tc>
      </w:tr>
      <w:tr w:rsidR="00164E0D" w:rsidRPr="00164E0D" w:rsidTr="0087487B">
        <w:trPr>
          <w:trHeight w:val="910"/>
          <w:jc w:val="center"/>
        </w:trPr>
        <w:tc>
          <w:tcPr>
            <w:tcW w:w="2155" w:type="dxa"/>
            <w:vAlign w:val="center"/>
          </w:tcPr>
          <w:p w:rsidR="003D4DF7" w:rsidRPr="00164E0D" w:rsidRDefault="003D4DF7" w:rsidP="000B282A">
            <w:pPr>
              <w:jc w:val="center"/>
              <w:rPr>
                <w:rFonts w:ascii="宋体" w:eastAsia="宋体" w:hAnsi="宋体" w:cs="Times New Roman"/>
                <w:sz w:val="24"/>
                <w:szCs w:val="24"/>
              </w:rPr>
            </w:pPr>
            <w:r w:rsidRPr="00164E0D">
              <w:rPr>
                <w:rFonts w:ascii="宋体" w:eastAsia="宋体" w:hAnsi="宋体" w:cs="Times New Roman" w:hint="eastAsia"/>
                <w:sz w:val="24"/>
                <w:szCs w:val="24"/>
              </w:rPr>
              <w:t>软件工程</w:t>
            </w:r>
          </w:p>
        </w:tc>
        <w:tc>
          <w:tcPr>
            <w:tcW w:w="1519" w:type="dxa"/>
            <w:vAlign w:val="center"/>
          </w:tcPr>
          <w:p w:rsidR="003D4DF7" w:rsidRPr="00164E0D" w:rsidRDefault="003D4DF7" w:rsidP="000B282A">
            <w:pPr>
              <w:jc w:val="center"/>
              <w:rPr>
                <w:rFonts w:ascii="宋体" w:eastAsia="宋体" w:hAnsi="宋体" w:cs="Times New Roman"/>
                <w:sz w:val="24"/>
                <w:szCs w:val="24"/>
              </w:rPr>
            </w:pPr>
            <w:r w:rsidRPr="00164E0D">
              <w:rPr>
                <w:rFonts w:ascii="Arial" w:eastAsia="宋体" w:hAnsi="Arial" w:cs="Arial" w:hint="eastAsia"/>
                <w:sz w:val="24"/>
                <w:szCs w:val="24"/>
              </w:rPr>
              <w:t>全日制</w:t>
            </w:r>
          </w:p>
        </w:tc>
        <w:tc>
          <w:tcPr>
            <w:tcW w:w="1660" w:type="dxa"/>
            <w:vAlign w:val="center"/>
          </w:tcPr>
          <w:p w:rsidR="003D4DF7" w:rsidRPr="00164E0D" w:rsidRDefault="003D4DF7" w:rsidP="000B282A">
            <w:pPr>
              <w:jc w:val="center"/>
              <w:rPr>
                <w:rFonts w:ascii="宋体" w:eastAsia="宋体" w:hAnsi="宋体" w:cs="Times New Roman"/>
                <w:sz w:val="24"/>
                <w:szCs w:val="24"/>
              </w:rPr>
            </w:pPr>
            <w:r w:rsidRPr="00164E0D">
              <w:rPr>
                <w:rFonts w:ascii="Arial" w:eastAsia="宋体" w:hAnsi="Arial" w:cs="Arial"/>
                <w:sz w:val="24"/>
                <w:szCs w:val="24"/>
              </w:rPr>
              <w:t>083500</w:t>
            </w:r>
          </w:p>
        </w:tc>
        <w:tc>
          <w:tcPr>
            <w:tcW w:w="3188" w:type="dxa"/>
            <w:vAlign w:val="center"/>
          </w:tcPr>
          <w:p w:rsidR="003D4DF7" w:rsidRPr="00164E0D" w:rsidRDefault="003D4DF7" w:rsidP="000B282A">
            <w:pPr>
              <w:jc w:val="center"/>
              <w:rPr>
                <w:rFonts w:ascii="Calibri" w:eastAsia="宋体" w:hAnsi="Calibri" w:cs="Times New Roman"/>
                <w:sz w:val="24"/>
                <w:szCs w:val="24"/>
              </w:rPr>
            </w:pPr>
            <w:r w:rsidRPr="00164E0D">
              <w:rPr>
                <w:rFonts w:ascii="Calibri" w:eastAsia="宋体" w:hAnsi="Calibri" w:cs="Times New Roman" w:hint="eastAsia"/>
                <w:sz w:val="24"/>
                <w:szCs w:val="24"/>
              </w:rPr>
              <w:t>不区分研究方向</w:t>
            </w:r>
          </w:p>
        </w:tc>
      </w:tr>
      <w:tr w:rsidR="00164E0D" w:rsidRPr="00164E0D" w:rsidTr="0087487B">
        <w:trPr>
          <w:cantSplit/>
          <w:trHeight w:val="454"/>
          <w:jc w:val="center"/>
        </w:trPr>
        <w:tc>
          <w:tcPr>
            <w:tcW w:w="2155" w:type="dxa"/>
            <w:vMerge w:val="restart"/>
            <w:vAlign w:val="center"/>
          </w:tcPr>
          <w:p w:rsidR="003D4DF7" w:rsidRPr="00164E0D" w:rsidRDefault="003D4DF7" w:rsidP="0087487B">
            <w:pPr>
              <w:jc w:val="center"/>
              <w:rPr>
                <w:rFonts w:ascii="宋体" w:eastAsia="宋体" w:hAnsi="宋体" w:cs="Arial"/>
                <w:sz w:val="24"/>
                <w:szCs w:val="24"/>
              </w:rPr>
            </w:pPr>
            <w:r w:rsidRPr="00164E0D">
              <w:rPr>
                <w:rFonts w:ascii="Calibri" w:eastAsia="宋体" w:hAnsi="Calibri" w:cs="Arial" w:hint="eastAsia"/>
                <w:sz w:val="24"/>
                <w:szCs w:val="24"/>
              </w:rPr>
              <w:t>教育技术学</w:t>
            </w:r>
          </w:p>
        </w:tc>
        <w:tc>
          <w:tcPr>
            <w:tcW w:w="1519" w:type="dxa"/>
            <w:vMerge w:val="restart"/>
            <w:vAlign w:val="center"/>
          </w:tcPr>
          <w:p w:rsidR="003D4DF7" w:rsidRPr="00164E0D" w:rsidRDefault="003D4DF7" w:rsidP="0087487B">
            <w:pPr>
              <w:jc w:val="center"/>
              <w:rPr>
                <w:rFonts w:ascii="Arial" w:eastAsia="宋体" w:hAnsi="Arial" w:cs="Arial"/>
                <w:sz w:val="24"/>
                <w:szCs w:val="24"/>
              </w:rPr>
            </w:pPr>
            <w:r w:rsidRPr="00164E0D">
              <w:rPr>
                <w:rFonts w:ascii="Arial" w:eastAsia="宋体" w:hAnsi="Arial" w:cs="Arial" w:hint="eastAsia"/>
                <w:sz w:val="24"/>
                <w:szCs w:val="24"/>
              </w:rPr>
              <w:t>全日制</w:t>
            </w:r>
          </w:p>
        </w:tc>
        <w:tc>
          <w:tcPr>
            <w:tcW w:w="1660" w:type="dxa"/>
            <w:vMerge w:val="restart"/>
            <w:vAlign w:val="center"/>
          </w:tcPr>
          <w:p w:rsidR="003D4DF7" w:rsidRPr="00164E0D" w:rsidRDefault="003D4DF7" w:rsidP="0087487B">
            <w:pPr>
              <w:jc w:val="center"/>
              <w:rPr>
                <w:rFonts w:ascii="Arial" w:eastAsia="宋体" w:hAnsi="Arial" w:cs="Arial"/>
                <w:sz w:val="24"/>
                <w:szCs w:val="24"/>
              </w:rPr>
            </w:pPr>
            <w:r w:rsidRPr="00164E0D">
              <w:rPr>
                <w:rFonts w:ascii="Arial" w:eastAsia="宋体" w:hAnsi="Arial" w:cs="Arial"/>
                <w:sz w:val="24"/>
                <w:szCs w:val="24"/>
              </w:rPr>
              <w:t>078401</w:t>
            </w:r>
          </w:p>
        </w:tc>
        <w:tc>
          <w:tcPr>
            <w:tcW w:w="3188" w:type="dxa"/>
            <w:vAlign w:val="center"/>
          </w:tcPr>
          <w:p w:rsidR="003D4DF7" w:rsidRPr="00164E0D" w:rsidRDefault="003D4DF7" w:rsidP="0087487B">
            <w:pPr>
              <w:jc w:val="center"/>
              <w:rPr>
                <w:rFonts w:ascii="宋体" w:eastAsia="宋体" w:hAnsi="宋体" w:cs="宋体"/>
                <w:sz w:val="24"/>
                <w:szCs w:val="24"/>
              </w:rPr>
            </w:pPr>
            <w:r w:rsidRPr="00164E0D">
              <w:rPr>
                <w:rFonts w:ascii="Calibri" w:eastAsia="宋体" w:hAnsi="Calibri" w:cs="Times New Roman" w:hint="eastAsia"/>
                <w:sz w:val="24"/>
                <w:szCs w:val="24"/>
              </w:rPr>
              <w:t>1.</w:t>
            </w:r>
            <w:r w:rsidRPr="00164E0D">
              <w:rPr>
                <w:rFonts w:ascii="Calibri" w:eastAsia="宋体" w:hAnsi="Calibri" w:cs="Times New Roman" w:hint="eastAsia"/>
                <w:sz w:val="24"/>
                <w:szCs w:val="24"/>
              </w:rPr>
              <w:t>教育软件工程</w:t>
            </w:r>
          </w:p>
        </w:tc>
      </w:tr>
      <w:tr w:rsidR="00164E0D" w:rsidRPr="00164E0D" w:rsidTr="0087487B">
        <w:trPr>
          <w:cantSplit/>
          <w:trHeight w:val="454"/>
          <w:jc w:val="center"/>
        </w:trPr>
        <w:tc>
          <w:tcPr>
            <w:tcW w:w="2155" w:type="dxa"/>
            <w:vMerge/>
            <w:vAlign w:val="center"/>
          </w:tcPr>
          <w:p w:rsidR="003D4DF7" w:rsidRPr="00164E0D" w:rsidRDefault="003D4DF7" w:rsidP="0087487B">
            <w:pPr>
              <w:jc w:val="center"/>
              <w:rPr>
                <w:rFonts w:ascii="宋体" w:eastAsia="宋体" w:hAnsi="宋体" w:cs="Times New Roman"/>
                <w:sz w:val="24"/>
                <w:szCs w:val="24"/>
              </w:rPr>
            </w:pPr>
          </w:p>
        </w:tc>
        <w:tc>
          <w:tcPr>
            <w:tcW w:w="1519" w:type="dxa"/>
            <w:vMerge/>
            <w:vAlign w:val="center"/>
          </w:tcPr>
          <w:p w:rsidR="003D4DF7" w:rsidRPr="00164E0D" w:rsidRDefault="003D4DF7" w:rsidP="0087487B">
            <w:pPr>
              <w:jc w:val="center"/>
              <w:rPr>
                <w:rFonts w:ascii="宋体" w:eastAsia="宋体" w:hAnsi="宋体" w:cs="Times New Roman"/>
                <w:sz w:val="24"/>
                <w:szCs w:val="24"/>
              </w:rPr>
            </w:pPr>
          </w:p>
        </w:tc>
        <w:tc>
          <w:tcPr>
            <w:tcW w:w="1660" w:type="dxa"/>
            <w:vMerge/>
            <w:vAlign w:val="center"/>
          </w:tcPr>
          <w:p w:rsidR="003D4DF7" w:rsidRPr="00164E0D" w:rsidRDefault="003D4DF7" w:rsidP="0087487B">
            <w:pPr>
              <w:jc w:val="center"/>
              <w:rPr>
                <w:rFonts w:ascii="宋体" w:eastAsia="宋体" w:hAnsi="宋体" w:cs="Times New Roman"/>
                <w:sz w:val="24"/>
                <w:szCs w:val="24"/>
              </w:rPr>
            </w:pPr>
          </w:p>
        </w:tc>
        <w:tc>
          <w:tcPr>
            <w:tcW w:w="3188" w:type="dxa"/>
            <w:vAlign w:val="center"/>
          </w:tcPr>
          <w:p w:rsidR="003D4DF7" w:rsidRPr="00164E0D" w:rsidRDefault="003D4DF7" w:rsidP="0087487B">
            <w:pPr>
              <w:jc w:val="center"/>
              <w:rPr>
                <w:rFonts w:ascii="宋体" w:eastAsia="宋体" w:hAnsi="宋体" w:cs="宋体"/>
                <w:sz w:val="24"/>
                <w:szCs w:val="24"/>
              </w:rPr>
            </w:pPr>
            <w:r w:rsidRPr="00164E0D">
              <w:rPr>
                <w:rFonts w:ascii="Calibri" w:eastAsia="宋体" w:hAnsi="Calibri" w:cs="Times New Roman" w:hint="eastAsia"/>
                <w:sz w:val="24"/>
                <w:szCs w:val="24"/>
              </w:rPr>
              <w:t>2.</w:t>
            </w:r>
            <w:r w:rsidRPr="00164E0D">
              <w:rPr>
                <w:rFonts w:ascii="Calibri" w:eastAsia="宋体" w:hAnsi="Calibri" w:cs="Times New Roman" w:hint="eastAsia"/>
                <w:sz w:val="24"/>
                <w:szCs w:val="24"/>
              </w:rPr>
              <w:t>职业教育信息化</w:t>
            </w:r>
          </w:p>
        </w:tc>
      </w:tr>
      <w:tr w:rsidR="00164E0D" w:rsidRPr="00164E0D" w:rsidTr="0087487B">
        <w:trPr>
          <w:cantSplit/>
          <w:trHeight w:val="454"/>
          <w:jc w:val="center"/>
        </w:trPr>
        <w:tc>
          <w:tcPr>
            <w:tcW w:w="2155" w:type="dxa"/>
            <w:vMerge/>
            <w:vAlign w:val="center"/>
          </w:tcPr>
          <w:p w:rsidR="003D4DF7" w:rsidRPr="00164E0D" w:rsidRDefault="003D4DF7" w:rsidP="0087487B">
            <w:pPr>
              <w:jc w:val="center"/>
              <w:rPr>
                <w:rFonts w:ascii="宋体" w:eastAsia="宋体" w:hAnsi="宋体" w:cs="Times New Roman"/>
                <w:sz w:val="24"/>
                <w:szCs w:val="24"/>
              </w:rPr>
            </w:pPr>
          </w:p>
        </w:tc>
        <w:tc>
          <w:tcPr>
            <w:tcW w:w="1519" w:type="dxa"/>
            <w:vMerge/>
            <w:vAlign w:val="center"/>
          </w:tcPr>
          <w:p w:rsidR="003D4DF7" w:rsidRPr="00164E0D" w:rsidRDefault="003D4DF7" w:rsidP="0087487B">
            <w:pPr>
              <w:jc w:val="center"/>
              <w:rPr>
                <w:rFonts w:ascii="宋体" w:eastAsia="宋体" w:hAnsi="宋体" w:cs="Times New Roman"/>
                <w:sz w:val="24"/>
                <w:szCs w:val="24"/>
              </w:rPr>
            </w:pPr>
          </w:p>
        </w:tc>
        <w:tc>
          <w:tcPr>
            <w:tcW w:w="1660" w:type="dxa"/>
            <w:vMerge/>
            <w:vAlign w:val="center"/>
          </w:tcPr>
          <w:p w:rsidR="003D4DF7" w:rsidRPr="00164E0D" w:rsidRDefault="003D4DF7" w:rsidP="0087487B">
            <w:pPr>
              <w:jc w:val="center"/>
              <w:rPr>
                <w:rFonts w:ascii="宋体" w:eastAsia="宋体" w:hAnsi="宋体" w:cs="Times New Roman"/>
                <w:sz w:val="24"/>
                <w:szCs w:val="24"/>
              </w:rPr>
            </w:pPr>
          </w:p>
        </w:tc>
        <w:tc>
          <w:tcPr>
            <w:tcW w:w="3188" w:type="dxa"/>
            <w:vAlign w:val="center"/>
          </w:tcPr>
          <w:p w:rsidR="003D4DF7" w:rsidRPr="00164E0D" w:rsidRDefault="003D4DF7" w:rsidP="0087487B">
            <w:pPr>
              <w:jc w:val="center"/>
              <w:rPr>
                <w:rFonts w:ascii="宋体" w:eastAsia="宋体" w:hAnsi="宋体" w:cs="宋体"/>
                <w:sz w:val="24"/>
                <w:szCs w:val="24"/>
              </w:rPr>
            </w:pPr>
            <w:r w:rsidRPr="00164E0D">
              <w:rPr>
                <w:rFonts w:ascii="Calibri" w:eastAsia="宋体" w:hAnsi="Calibri" w:cs="Times New Roman" w:hint="eastAsia"/>
                <w:sz w:val="24"/>
                <w:szCs w:val="24"/>
              </w:rPr>
              <w:t>3.</w:t>
            </w:r>
            <w:r w:rsidRPr="00164E0D">
              <w:rPr>
                <w:rFonts w:ascii="Calibri" w:eastAsia="宋体" w:hAnsi="Calibri" w:cs="Times New Roman" w:hint="eastAsia"/>
                <w:sz w:val="24"/>
                <w:szCs w:val="24"/>
              </w:rPr>
              <w:t>数字媒体技术</w:t>
            </w:r>
          </w:p>
        </w:tc>
      </w:tr>
      <w:tr w:rsidR="00164E0D" w:rsidRPr="00164E0D" w:rsidTr="0087487B">
        <w:trPr>
          <w:cantSplit/>
          <w:trHeight w:val="454"/>
          <w:jc w:val="center"/>
        </w:trPr>
        <w:tc>
          <w:tcPr>
            <w:tcW w:w="2155" w:type="dxa"/>
            <w:vAlign w:val="center"/>
          </w:tcPr>
          <w:p w:rsidR="003D4DF7" w:rsidRPr="00164E0D" w:rsidRDefault="003D4DF7" w:rsidP="0087487B">
            <w:pPr>
              <w:jc w:val="center"/>
              <w:rPr>
                <w:rFonts w:ascii="Calibri" w:eastAsia="宋体" w:hAnsi="Calibri" w:cs="Arial"/>
                <w:sz w:val="24"/>
                <w:szCs w:val="24"/>
              </w:rPr>
            </w:pPr>
            <w:r w:rsidRPr="00164E0D">
              <w:rPr>
                <w:rFonts w:ascii="Calibri" w:eastAsia="宋体" w:hAnsi="Calibri" w:cs="Arial" w:hint="eastAsia"/>
                <w:sz w:val="24"/>
                <w:szCs w:val="24"/>
              </w:rPr>
              <w:t>职业技术教育</w:t>
            </w:r>
          </w:p>
          <w:p w:rsidR="003D4DF7" w:rsidRPr="00164E0D" w:rsidRDefault="003D4DF7" w:rsidP="0087487B">
            <w:pPr>
              <w:jc w:val="center"/>
              <w:rPr>
                <w:rFonts w:ascii="Calibri" w:eastAsia="宋体" w:hAnsi="Calibri" w:cs="Arial"/>
                <w:sz w:val="24"/>
                <w:szCs w:val="24"/>
              </w:rPr>
            </w:pPr>
            <w:r w:rsidRPr="00164E0D">
              <w:rPr>
                <w:rFonts w:ascii="Calibri" w:eastAsia="宋体" w:hAnsi="Calibri" w:cs="Arial" w:hint="eastAsia"/>
                <w:sz w:val="24"/>
                <w:szCs w:val="24"/>
              </w:rPr>
              <w:t>（专业学位）</w:t>
            </w:r>
          </w:p>
        </w:tc>
        <w:tc>
          <w:tcPr>
            <w:tcW w:w="1519" w:type="dxa"/>
            <w:vAlign w:val="center"/>
          </w:tcPr>
          <w:p w:rsidR="003D4DF7" w:rsidRPr="00164E0D" w:rsidRDefault="003D4DF7" w:rsidP="0087487B">
            <w:pPr>
              <w:jc w:val="center"/>
              <w:rPr>
                <w:rFonts w:ascii="Arial" w:eastAsia="宋体" w:hAnsi="Arial" w:cs="Arial"/>
                <w:sz w:val="24"/>
                <w:szCs w:val="24"/>
              </w:rPr>
            </w:pPr>
            <w:r w:rsidRPr="00164E0D">
              <w:rPr>
                <w:rFonts w:ascii="Arial" w:eastAsia="宋体" w:hAnsi="Arial" w:cs="Arial" w:hint="eastAsia"/>
                <w:sz w:val="24"/>
                <w:szCs w:val="24"/>
              </w:rPr>
              <w:t>全日制</w:t>
            </w:r>
          </w:p>
        </w:tc>
        <w:tc>
          <w:tcPr>
            <w:tcW w:w="1660" w:type="dxa"/>
            <w:vAlign w:val="center"/>
          </w:tcPr>
          <w:p w:rsidR="003D4DF7" w:rsidRPr="00164E0D" w:rsidRDefault="003D4DF7" w:rsidP="0087487B">
            <w:pPr>
              <w:jc w:val="center"/>
              <w:rPr>
                <w:rFonts w:ascii="Calibri" w:eastAsia="宋体" w:hAnsi="Calibri" w:cs="Arial"/>
                <w:sz w:val="24"/>
                <w:szCs w:val="24"/>
              </w:rPr>
            </w:pPr>
            <w:r w:rsidRPr="00164E0D">
              <w:rPr>
                <w:rFonts w:ascii="Arial" w:eastAsia="宋体" w:hAnsi="Arial" w:cs="Arial" w:hint="eastAsia"/>
                <w:sz w:val="24"/>
                <w:szCs w:val="24"/>
              </w:rPr>
              <w:t>045120</w:t>
            </w:r>
          </w:p>
        </w:tc>
        <w:tc>
          <w:tcPr>
            <w:tcW w:w="3188" w:type="dxa"/>
            <w:vAlign w:val="center"/>
          </w:tcPr>
          <w:p w:rsidR="003D4DF7" w:rsidRPr="00164E0D" w:rsidRDefault="003D4DF7" w:rsidP="0087487B">
            <w:pPr>
              <w:ind w:firstLineChars="100" w:firstLine="240"/>
              <w:jc w:val="center"/>
              <w:rPr>
                <w:rFonts w:ascii="Calibri" w:eastAsia="宋体" w:hAnsi="Calibri" w:cs="Times New Roman"/>
                <w:sz w:val="24"/>
                <w:szCs w:val="24"/>
              </w:rPr>
            </w:pPr>
            <w:r w:rsidRPr="00164E0D">
              <w:rPr>
                <w:rFonts w:ascii="Calibri" w:eastAsia="宋体" w:hAnsi="Calibri" w:cs="Times New Roman" w:hint="eastAsia"/>
                <w:sz w:val="24"/>
                <w:szCs w:val="24"/>
              </w:rPr>
              <w:t>信息技术方向</w:t>
            </w:r>
          </w:p>
        </w:tc>
      </w:tr>
    </w:tbl>
    <w:p w:rsidR="003D4DF7" w:rsidRPr="00164E0D" w:rsidRDefault="004C51B4" w:rsidP="003D4DF7">
      <w:pPr>
        <w:pStyle w:val="a5"/>
        <w:spacing w:line="200" w:lineRule="atLeast"/>
        <w:outlineLvl w:val="3"/>
        <w:rPr>
          <w:b/>
          <w:bCs/>
          <w:sz w:val="28"/>
          <w:szCs w:val="28"/>
        </w:rPr>
      </w:pPr>
      <w:r w:rsidRPr="00164E0D">
        <w:rPr>
          <w:rFonts w:hint="eastAsia"/>
          <w:b/>
          <w:bCs/>
          <w:sz w:val="28"/>
          <w:szCs w:val="28"/>
        </w:rPr>
        <w:t>三、</w:t>
      </w:r>
      <w:r w:rsidR="00A34F1A" w:rsidRPr="00164E0D">
        <w:rPr>
          <w:rFonts w:hint="eastAsia"/>
          <w:b/>
          <w:bCs/>
          <w:sz w:val="28"/>
          <w:szCs w:val="28"/>
        </w:rPr>
        <w:t>研究生招生专业介绍</w:t>
      </w:r>
    </w:p>
    <w:p w:rsidR="003D4DF7" w:rsidRPr="00164E0D" w:rsidRDefault="003D4DF7" w:rsidP="003D4DF7">
      <w:pPr>
        <w:pStyle w:val="a5"/>
        <w:spacing w:line="200" w:lineRule="atLeast"/>
        <w:outlineLvl w:val="3"/>
        <w:rPr>
          <w:b/>
          <w:bCs/>
        </w:rPr>
      </w:pPr>
      <w:r w:rsidRPr="00164E0D">
        <w:rPr>
          <w:rFonts w:asciiTheme="minorEastAsia" w:hAnsiTheme="minorEastAsia" w:cstheme="minorEastAsia" w:hint="eastAsia"/>
          <w:b/>
          <w:bCs/>
        </w:rPr>
        <w:t>1.</w:t>
      </w:r>
      <w:r w:rsidRPr="00164E0D">
        <w:rPr>
          <w:rFonts w:asciiTheme="minorEastAsia" w:hAnsiTheme="minorEastAsia" w:hint="eastAsia"/>
          <w:b/>
          <w:bCs/>
        </w:rPr>
        <w:t>软件工程（0835</w:t>
      </w:r>
      <w:r w:rsidR="004C51B4" w:rsidRPr="00164E0D">
        <w:rPr>
          <w:rFonts w:asciiTheme="minorEastAsia" w:hAnsiTheme="minorEastAsia" w:hint="eastAsia"/>
          <w:b/>
          <w:bCs/>
        </w:rPr>
        <w:t>00</w:t>
      </w:r>
      <w:r w:rsidRPr="00164E0D">
        <w:rPr>
          <w:rFonts w:asciiTheme="minorEastAsia" w:hAnsiTheme="minorEastAsia" w:hint="eastAsia"/>
          <w:b/>
          <w:bCs/>
        </w:rPr>
        <w:t>）</w:t>
      </w:r>
    </w:p>
    <w:p w:rsidR="004C51B4" w:rsidRPr="00164E0D" w:rsidRDefault="003D4DF7" w:rsidP="004C51B4">
      <w:pPr>
        <w:pStyle w:val="a5"/>
        <w:spacing w:line="360" w:lineRule="auto"/>
        <w:ind w:firstLineChars="200" w:firstLine="480"/>
        <w:jc w:val="both"/>
        <w:outlineLvl w:val="3"/>
      </w:pPr>
      <w:r w:rsidRPr="00164E0D">
        <w:rPr>
          <w:rFonts w:hint="eastAsia"/>
        </w:rPr>
        <w:t>软件工程为学术型硕士点，授工学硕士学位。</w:t>
      </w:r>
    </w:p>
    <w:p w:rsidR="003D4DF7" w:rsidRPr="00164E0D" w:rsidRDefault="003D4DF7" w:rsidP="004C51B4">
      <w:pPr>
        <w:pStyle w:val="a5"/>
        <w:spacing w:line="360" w:lineRule="auto"/>
        <w:ind w:firstLineChars="200" w:firstLine="480"/>
        <w:jc w:val="both"/>
        <w:outlineLvl w:val="3"/>
      </w:pPr>
      <w:r w:rsidRPr="00164E0D">
        <w:rPr>
          <w:rFonts w:hint="eastAsia"/>
        </w:rPr>
        <w:t>软件工程是以计算机科学理论与技术以及工程管理原理和方法等为基础，研究软件开发、运行和维护的系统性、规范化的方法和技术，或以之为研究对象的学科。其基本研究领域包括软件工程理论与方法、软件工程技术和领域软件工程。</w:t>
      </w:r>
    </w:p>
    <w:p w:rsidR="004C51B4" w:rsidRPr="00164E0D" w:rsidRDefault="003D4DF7" w:rsidP="004C51B4">
      <w:pPr>
        <w:pStyle w:val="a5"/>
        <w:spacing w:line="360" w:lineRule="auto"/>
        <w:ind w:firstLineChars="200" w:firstLine="480"/>
        <w:jc w:val="both"/>
        <w:outlineLvl w:val="3"/>
      </w:pPr>
      <w:r w:rsidRPr="00164E0D">
        <w:rPr>
          <w:rFonts w:hint="eastAsia"/>
        </w:rPr>
        <w:t>本专业培养专业素质和人文素质全面发展，具有严谨科学态度和敬业精神、热心职业教育事业，具备坚实的计算机科学基础理论，熟悉软件工程知识体系，掌握软件工程领域的基本理论、先进技术方法和手段，实践能力强，在软件工程领域具有独立从事科学研究、系统分析、设计、开发和管理与维护以及团队协作能力的高水平创新型软件人才和职教师资。</w:t>
      </w:r>
    </w:p>
    <w:p w:rsidR="003D4DF7" w:rsidRPr="00164E0D" w:rsidRDefault="00A84A78" w:rsidP="00A84A78">
      <w:pPr>
        <w:widowControl/>
        <w:snapToGrid w:val="0"/>
        <w:spacing w:line="360" w:lineRule="atLeast"/>
        <w:jc w:val="left"/>
        <w:rPr>
          <w:rFonts w:ascii="宋体" w:eastAsia="宋体" w:hAnsi="宋体" w:cs="宋体"/>
          <w:kern w:val="0"/>
          <w:sz w:val="24"/>
          <w:szCs w:val="24"/>
        </w:rPr>
      </w:pPr>
      <w:r w:rsidRPr="00164E0D">
        <w:rPr>
          <w:rFonts w:asciiTheme="minorEastAsia" w:hAnsiTheme="minorEastAsia" w:cs="宋体" w:hint="eastAsia"/>
          <w:b/>
          <w:bCs/>
          <w:kern w:val="0"/>
          <w:sz w:val="24"/>
          <w:szCs w:val="24"/>
        </w:rPr>
        <w:t>2</w:t>
      </w:r>
      <w:r w:rsidR="003D4DF7" w:rsidRPr="00164E0D">
        <w:rPr>
          <w:rFonts w:asciiTheme="minorEastAsia" w:hAnsiTheme="minorEastAsia" w:cs="宋体" w:hint="eastAsia"/>
          <w:b/>
          <w:bCs/>
          <w:kern w:val="0"/>
          <w:sz w:val="24"/>
          <w:szCs w:val="24"/>
        </w:rPr>
        <w:t>.教育技术学（078401）</w:t>
      </w:r>
    </w:p>
    <w:p w:rsidR="003D4DF7" w:rsidRPr="00164E0D" w:rsidRDefault="003D4DF7" w:rsidP="004C51B4">
      <w:pPr>
        <w:pStyle w:val="a5"/>
        <w:spacing w:line="360" w:lineRule="auto"/>
        <w:ind w:firstLineChars="200" w:firstLine="480"/>
        <w:jc w:val="both"/>
        <w:outlineLvl w:val="3"/>
      </w:pPr>
      <w:r w:rsidRPr="00164E0D">
        <w:rPr>
          <w:rFonts w:hint="eastAsia"/>
        </w:rPr>
        <w:t>教育技术学为学术型硕士点，授理学硕士学位。</w:t>
      </w:r>
    </w:p>
    <w:p w:rsidR="003D4DF7" w:rsidRPr="00164E0D" w:rsidRDefault="003D4DF7" w:rsidP="004C51B4">
      <w:pPr>
        <w:pStyle w:val="a5"/>
        <w:spacing w:line="360" w:lineRule="auto"/>
        <w:ind w:firstLineChars="200" w:firstLine="480"/>
        <w:jc w:val="both"/>
        <w:outlineLvl w:val="3"/>
      </w:pPr>
      <w:r w:rsidRPr="00164E0D">
        <w:rPr>
          <w:rFonts w:hint="eastAsia"/>
        </w:rPr>
        <w:lastRenderedPageBreak/>
        <w:t>教育技术学是教育学科与信息技术学科相结合、注重理论与实践的新型学科，是教育改革和发展的制高点。本专业主要面向我国职业教育的实际，研究教育技术的理论与实践问题，目前研究方向主要有3个：教育软件工程、职业教育信息化和数字媒体技术。</w:t>
      </w:r>
    </w:p>
    <w:p w:rsidR="004C51B4" w:rsidRPr="00164E0D" w:rsidRDefault="003D4DF7" w:rsidP="004C51B4">
      <w:pPr>
        <w:pStyle w:val="a5"/>
        <w:spacing w:line="360" w:lineRule="auto"/>
        <w:ind w:firstLineChars="200" w:firstLine="480"/>
        <w:jc w:val="both"/>
        <w:outlineLvl w:val="3"/>
        <w:rPr>
          <w:sz w:val="20"/>
          <w:szCs w:val="20"/>
        </w:rPr>
      </w:pPr>
      <w:r w:rsidRPr="00164E0D">
        <w:rPr>
          <w:rFonts w:hint="eastAsia"/>
        </w:rPr>
        <w:t xml:space="preserve">教育技术学专业培养专业素质、人文素质、政治素质和道德素质全面发展，自觉地为职业教育的发展服务，具有创新精神和实践能力的高级专门人才；培养具有独立从事教育技术学专业的科学研究能力，能胜任与本专业相关的教学、设计、开发等工作的高层次职教师资和高级技术人才。 </w:t>
      </w:r>
      <w:r w:rsidRPr="00164E0D">
        <w:rPr>
          <w:rFonts w:asciiTheme="minorEastAsia" w:hAnsiTheme="minorEastAsia" w:hint="eastAsia"/>
          <w:sz w:val="29"/>
          <w:szCs w:val="29"/>
        </w:rPr>
        <w:t> </w:t>
      </w:r>
    </w:p>
    <w:p w:rsidR="003D4DF7" w:rsidRPr="00164E0D" w:rsidRDefault="00A84A78" w:rsidP="004C51B4">
      <w:pPr>
        <w:widowControl/>
        <w:snapToGrid w:val="0"/>
        <w:spacing w:line="360" w:lineRule="atLeast"/>
        <w:ind w:firstLine="555"/>
        <w:jc w:val="left"/>
        <w:rPr>
          <w:rFonts w:ascii="宋体" w:eastAsia="宋体" w:hAnsi="宋体" w:cs="宋体"/>
          <w:kern w:val="0"/>
          <w:sz w:val="20"/>
          <w:szCs w:val="20"/>
        </w:rPr>
      </w:pPr>
      <w:r w:rsidRPr="00164E0D">
        <w:rPr>
          <w:rFonts w:asciiTheme="minorEastAsia" w:hAnsiTheme="minorEastAsia" w:cs="宋体" w:hint="eastAsia"/>
          <w:b/>
          <w:bCs/>
          <w:kern w:val="0"/>
          <w:sz w:val="24"/>
          <w:szCs w:val="24"/>
        </w:rPr>
        <w:t>3</w:t>
      </w:r>
      <w:r w:rsidR="003D4DF7" w:rsidRPr="00164E0D">
        <w:rPr>
          <w:rFonts w:asciiTheme="minorEastAsia" w:hAnsiTheme="minorEastAsia" w:cs="宋体" w:hint="eastAsia"/>
          <w:b/>
          <w:bCs/>
          <w:kern w:val="0"/>
          <w:sz w:val="24"/>
          <w:szCs w:val="24"/>
        </w:rPr>
        <w:t>.职业技术教育（045120）</w:t>
      </w:r>
    </w:p>
    <w:p w:rsidR="003D4DF7" w:rsidRPr="00164E0D" w:rsidRDefault="003D4DF7" w:rsidP="004C51B4">
      <w:pPr>
        <w:pStyle w:val="a5"/>
        <w:spacing w:line="360" w:lineRule="auto"/>
        <w:ind w:firstLineChars="200" w:firstLine="480"/>
        <w:jc w:val="both"/>
        <w:outlineLvl w:val="3"/>
      </w:pPr>
      <w:r w:rsidRPr="00164E0D">
        <w:rPr>
          <w:rFonts w:hint="eastAsia"/>
        </w:rPr>
        <w:t>职业技术教育为专业型硕士点，授教育硕士专业学位。</w:t>
      </w:r>
    </w:p>
    <w:p w:rsidR="003D4DF7" w:rsidRPr="00164E0D" w:rsidRDefault="003D4DF7" w:rsidP="004C51B4">
      <w:pPr>
        <w:pStyle w:val="a5"/>
        <w:spacing w:line="360" w:lineRule="auto"/>
        <w:ind w:firstLineChars="200" w:firstLine="480"/>
        <w:jc w:val="both"/>
        <w:outlineLvl w:val="3"/>
      </w:pPr>
      <w:r w:rsidRPr="00164E0D">
        <w:rPr>
          <w:rFonts w:hint="eastAsia"/>
        </w:rPr>
        <w:t>职业技术教育专业旨在为中等职业技术学校培养信息技术领域“双师型”师资，培养掌握现代教育理论、具有较强职业技术教育教学实践和研究能力的高素质中等职业学校信息技术专业教师。</w:t>
      </w:r>
    </w:p>
    <w:p w:rsidR="003D4DF7" w:rsidRPr="00164E0D" w:rsidRDefault="003D4DF7" w:rsidP="004C51B4">
      <w:pPr>
        <w:pStyle w:val="a5"/>
        <w:spacing w:line="360" w:lineRule="auto"/>
        <w:ind w:firstLineChars="200" w:firstLine="480"/>
        <w:jc w:val="both"/>
        <w:outlineLvl w:val="3"/>
      </w:pPr>
      <w:r w:rsidRPr="00164E0D">
        <w:rPr>
          <w:rFonts w:hint="eastAsia"/>
        </w:rPr>
        <w:t>要求具备良好的职业道德和敬业精神；适应现代职业教育发展，掌握信息技术专业扎实的基础理论、专业知识和实践技能,取得相应工种中级职业技能证书；具有担负本专业理论、实训教学工作和专业建设、职业技能课程开发的能力，成为本专业骨干教师或专业带头人,引领中职专业建设改革与发展。</w:t>
      </w:r>
    </w:p>
    <w:p w:rsidR="00A34F1A" w:rsidRPr="00164E0D" w:rsidRDefault="00A34F1A" w:rsidP="00A34F1A">
      <w:pPr>
        <w:pStyle w:val="a5"/>
        <w:spacing w:line="200" w:lineRule="atLeast"/>
        <w:outlineLvl w:val="3"/>
        <w:rPr>
          <w:b/>
          <w:bCs/>
          <w:sz w:val="28"/>
          <w:szCs w:val="28"/>
        </w:rPr>
      </w:pPr>
      <w:r w:rsidRPr="00164E0D">
        <w:rPr>
          <w:rFonts w:hint="eastAsia"/>
          <w:b/>
          <w:bCs/>
          <w:sz w:val="28"/>
          <w:szCs w:val="28"/>
        </w:rPr>
        <w:t>四、调剂优惠政策</w:t>
      </w:r>
    </w:p>
    <w:p w:rsidR="00A34F1A" w:rsidRPr="00164E0D" w:rsidRDefault="00A34F1A" w:rsidP="00A34F1A">
      <w:pPr>
        <w:widowControl/>
        <w:snapToGrid w:val="0"/>
        <w:spacing w:before="100" w:beforeAutospacing="1" w:after="100" w:afterAutospacing="1" w:line="360" w:lineRule="auto"/>
        <w:ind w:firstLineChars="200" w:firstLine="482"/>
        <w:jc w:val="center"/>
        <w:rPr>
          <w:rFonts w:ascii="宋体" w:eastAsia="宋体" w:hAnsi="宋体" w:cs="宋体"/>
          <w:b/>
          <w:kern w:val="0"/>
          <w:sz w:val="24"/>
          <w:szCs w:val="24"/>
        </w:rPr>
      </w:pPr>
      <w:r w:rsidRPr="00164E0D">
        <w:rPr>
          <w:rFonts w:ascii="宋体" w:eastAsia="宋体" w:hAnsi="宋体" w:cs="宋体" w:hint="eastAsia"/>
          <w:b/>
          <w:kern w:val="0"/>
          <w:sz w:val="24"/>
          <w:szCs w:val="24"/>
        </w:rPr>
        <w:t>信息技术工程学院、软件工程学院接收多名调剂研究生</w:t>
      </w:r>
    </w:p>
    <w:p w:rsidR="00EA75C1" w:rsidRPr="00164E0D" w:rsidRDefault="00EA75C1" w:rsidP="00EA75C1">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1.对第一志愿报考我校的研究生，初试成绩达到国家公布的当年一区研究生复试分数线(单科及总分须同时达线)，并通过学校复试均可优先录取。</w:t>
      </w:r>
    </w:p>
    <w:p w:rsidR="004C51B4" w:rsidRPr="00164E0D" w:rsidRDefault="004C51B4" w:rsidP="004C51B4">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2.</w:t>
      </w:r>
      <w:r w:rsidRPr="00164E0D">
        <w:rPr>
          <w:rFonts w:ascii="宋体" w:eastAsia="宋体" w:hAnsi="宋体" w:cs="宋体" w:hint="eastAsia"/>
          <w:b/>
          <w:bCs/>
          <w:kern w:val="0"/>
          <w:sz w:val="24"/>
          <w:szCs w:val="24"/>
        </w:rPr>
        <w:t>奖学金(适用全日制研究生)</w:t>
      </w:r>
      <w:r w:rsidRPr="00164E0D">
        <w:rPr>
          <w:rFonts w:ascii="宋体" w:eastAsia="宋体" w:hAnsi="宋体" w:cs="宋体" w:hint="eastAsia"/>
          <w:kern w:val="0"/>
          <w:sz w:val="24"/>
          <w:szCs w:val="24"/>
        </w:rPr>
        <w:t>：一等学业奖学金，每生每学年12000元（若第一志愿报考学校，并被学校录取的考生，第一年享受一等学业奖学金，覆盖面</w:t>
      </w:r>
      <w:r w:rsidRPr="00164E0D">
        <w:rPr>
          <w:rFonts w:ascii="宋体" w:eastAsia="宋体" w:hAnsi="宋体" w:cs="宋体" w:hint="eastAsia"/>
          <w:kern w:val="0"/>
          <w:sz w:val="24"/>
          <w:szCs w:val="24"/>
        </w:rPr>
        <w:lastRenderedPageBreak/>
        <w:t xml:space="preserve">100%）；二等学业奖学金，学术型每生每学年8000元，专业学位每生每学年10000元（被学校录取的调剂考生，第一年享受二等学业奖学金，覆盖面100%）。 </w:t>
      </w:r>
    </w:p>
    <w:p w:rsidR="004C51B4" w:rsidRPr="00164E0D" w:rsidRDefault="004C51B4" w:rsidP="004C51B4">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 xml:space="preserve">3.除此之外学校还设有： </w:t>
      </w:r>
    </w:p>
    <w:p w:rsidR="004C51B4" w:rsidRPr="00164E0D" w:rsidRDefault="004C51B4" w:rsidP="004C51B4">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 xml:space="preserve">①国家奖学金，每年每生20000元。 </w:t>
      </w:r>
    </w:p>
    <w:p w:rsidR="004C51B4" w:rsidRPr="00164E0D" w:rsidRDefault="004C51B4" w:rsidP="004C51B4">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 xml:space="preserve">②研究生国家助学金每生每学年6000元。 </w:t>
      </w:r>
    </w:p>
    <w:p w:rsidR="004C51B4" w:rsidRPr="00164E0D" w:rsidRDefault="004C51B4" w:rsidP="004C51B4">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 xml:space="preserve">4.另外学校还设立多项优秀奖学金。对科研工作表现突出的研究生发放科研方面的奖学金。学校对在学期间表现优秀的研究生，提供多项优秀奖学金。优秀奖学金奖项有：研究生单项奖（包括：论文奖、学科竞赛奖、技能奖、发明奖、科研成果奖）、优秀研究生奖、优秀研究生干部奖、优秀毕业研究生奖、优秀研究生标兵奖（根据学校研究生培养特色专门设立的奖项） </w:t>
      </w:r>
    </w:p>
    <w:p w:rsidR="004C51B4" w:rsidRPr="00164E0D" w:rsidRDefault="004C51B4" w:rsidP="004C51B4">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164E0D">
        <w:rPr>
          <w:rFonts w:ascii="宋体" w:eastAsia="宋体" w:hAnsi="宋体" w:cs="宋体" w:hint="eastAsia"/>
          <w:kern w:val="0"/>
          <w:sz w:val="24"/>
          <w:szCs w:val="24"/>
        </w:rPr>
        <w:t xml:space="preserve">  5.学校为家庭经济困难的研究生提供国家助学贷款和“三助一辅”兼职岗位（每学期都设立多个三助、一辅岗位）。</w:t>
      </w:r>
    </w:p>
    <w:p w:rsidR="00060761" w:rsidRPr="00164E0D" w:rsidRDefault="00A34F1A" w:rsidP="00FC7EA3">
      <w:pPr>
        <w:widowControl/>
        <w:snapToGrid w:val="0"/>
        <w:spacing w:before="100" w:beforeAutospacing="1" w:after="100" w:afterAutospacing="1" w:line="360" w:lineRule="auto"/>
        <w:ind w:firstLine="480"/>
        <w:jc w:val="left"/>
        <w:rPr>
          <w:rFonts w:asciiTheme="minorEastAsia" w:hAnsiTheme="minorEastAsia"/>
          <w:b/>
          <w:sz w:val="28"/>
          <w:szCs w:val="28"/>
        </w:rPr>
      </w:pPr>
      <w:r w:rsidRPr="00164E0D">
        <w:rPr>
          <w:rFonts w:ascii="宋体" w:eastAsia="宋体" w:hAnsi="宋体" w:cs="宋体" w:hint="eastAsia"/>
          <w:kern w:val="0"/>
          <w:sz w:val="24"/>
          <w:szCs w:val="24"/>
        </w:rPr>
        <w:t>以上内容若与教育部相关规定不符之处，最终以教育部规定为准。</w:t>
      </w:r>
    </w:p>
    <w:p w:rsidR="00FC7EA3" w:rsidRPr="00164E0D" w:rsidRDefault="00FC7EA3"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A84A78" w:rsidRPr="00164E0D" w:rsidRDefault="00A84A78" w:rsidP="00A34F1A">
      <w:pPr>
        <w:spacing w:line="500" w:lineRule="exact"/>
        <w:jc w:val="center"/>
        <w:rPr>
          <w:rFonts w:asciiTheme="minorEastAsia" w:hAnsiTheme="minorEastAsia"/>
          <w:b/>
          <w:sz w:val="32"/>
          <w:szCs w:val="32"/>
        </w:rPr>
      </w:pPr>
    </w:p>
    <w:p w:rsidR="00B2684D" w:rsidRPr="00164E0D" w:rsidRDefault="00B2684D" w:rsidP="00A34F1A">
      <w:pPr>
        <w:spacing w:line="500" w:lineRule="exact"/>
        <w:jc w:val="center"/>
        <w:rPr>
          <w:rFonts w:asciiTheme="minorEastAsia" w:hAnsiTheme="minorEastAsia"/>
          <w:b/>
          <w:sz w:val="32"/>
          <w:szCs w:val="32"/>
        </w:rPr>
      </w:pPr>
      <w:r w:rsidRPr="00164E0D">
        <w:rPr>
          <w:rFonts w:asciiTheme="minorEastAsia" w:hAnsiTheme="minorEastAsia" w:hint="eastAsia"/>
          <w:b/>
          <w:sz w:val="32"/>
          <w:szCs w:val="32"/>
        </w:rPr>
        <w:lastRenderedPageBreak/>
        <w:t>天津职业技术师范大学</w:t>
      </w:r>
    </w:p>
    <w:p w:rsidR="00B2684D" w:rsidRPr="00164E0D" w:rsidRDefault="00B2684D" w:rsidP="00A34F1A">
      <w:pPr>
        <w:spacing w:line="500" w:lineRule="exact"/>
        <w:jc w:val="center"/>
        <w:rPr>
          <w:rFonts w:asciiTheme="minorEastAsia" w:hAnsiTheme="minorEastAsia"/>
          <w:b/>
          <w:sz w:val="32"/>
          <w:szCs w:val="32"/>
        </w:rPr>
      </w:pPr>
      <w:r w:rsidRPr="00164E0D">
        <w:rPr>
          <w:rFonts w:asciiTheme="minorEastAsia" w:hAnsiTheme="minorEastAsia" w:hint="eastAsia"/>
          <w:b/>
          <w:sz w:val="32"/>
          <w:szCs w:val="32"/>
        </w:rPr>
        <w:t>信息技术工程学院、软件工程学院</w:t>
      </w:r>
    </w:p>
    <w:p w:rsidR="00B2684D" w:rsidRPr="00164E0D" w:rsidRDefault="00B2684D" w:rsidP="00A34F1A">
      <w:pPr>
        <w:spacing w:line="500" w:lineRule="exact"/>
        <w:jc w:val="center"/>
        <w:rPr>
          <w:rFonts w:asciiTheme="minorEastAsia" w:hAnsiTheme="minorEastAsia"/>
          <w:b/>
          <w:sz w:val="32"/>
          <w:szCs w:val="32"/>
        </w:rPr>
      </w:pPr>
      <w:r w:rsidRPr="00164E0D">
        <w:rPr>
          <w:rFonts w:asciiTheme="minorEastAsia" w:hAnsiTheme="minorEastAsia" w:hint="eastAsia"/>
          <w:b/>
          <w:sz w:val="32"/>
          <w:szCs w:val="32"/>
        </w:rPr>
        <w:t>201</w:t>
      </w:r>
      <w:r w:rsidR="00A84A78" w:rsidRPr="00164E0D">
        <w:rPr>
          <w:rFonts w:asciiTheme="minorEastAsia" w:hAnsiTheme="minorEastAsia" w:hint="eastAsia"/>
          <w:b/>
          <w:sz w:val="32"/>
          <w:szCs w:val="32"/>
        </w:rPr>
        <w:t>9</w:t>
      </w:r>
      <w:r w:rsidRPr="00164E0D">
        <w:rPr>
          <w:rFonts w:asciiTheme="minorEastAsia" w:hAnsiTheme="minorEastAsia" w:hint="eastAsia"/>
          <w:b/>
          <w:sz w:val="32"/>
          <w:szCs w:val="32"/>
        </w:rPr>
        <w:t>年研究生调剂信息</w:t>
      </w:r>
    </w:p>
    <w:p w:rsidR="00B2684D" w:rsidRPr="00164E0D" w:rsidRDefault="00B2684D" w:rsidP="00A34F1A">
      <w:pPr>
        <w:spacing w:line="500" w:lineRule="exact"/>
        <w:jc w:val="center"/>
        <w:rPr>
          <w:rFonts w:asciiTheme="minorEastAsia" w:hAnsiTheme="minorEastAsia"/>
          <w:b/>
          <w:sz w:val="28"/>
          <w:szCs w:val="28"/>
        </w:rPr>
      </w:pPr>
    </w:p>
    <w:p w:rsidR="00B2684D" w:rsidRPr="00164E0D" w:rsidRDefault="00B2684D" w:rsidP="00CB5C95">
      <w:pPr>
        <w:spacing w:line="480" w:lineRule="auto"/>
        <w:ind w:firstLine="573"/>
        <w:rPr>
          <w:rFonts w:asciiTheme="minorEastAsia" w:hAnsiTheme="minorEastAsia"/>
          <w:b/>
          <w:sz w:val="28"/>
          <w:szCs w:val="28"/>
        </w:rPr>
      </w:pPr>
      <w:r w:rsidRPr="00164E0D">
        <w:rPr>
          <w:rFonts w:asciiTheme="minorEastAsia" w:hAnsiTheme="minorEastAsia" w:hint="eastAsia"/>
          <w:b/>
          <w:sz w:val="28"/>
          <w:szCs w:val="28"/>
        </w:rPr>
        <w:t>我院</w:t>
      </w:r>
      <w:r w:rsidR="00CB5C95" w:rsidRPr="00164E0D">
        <w:rPr>
          <w:rFonts w:asciiTheme="minorEastAsia" w:hAnsiTheme="minorEastAsia" w:hint="eastAsia"/>
          <w:b/>
          <w:sz w:val="28"/>
          <w:szCs w:val="28"/>
        </w:rPr>
        <w:t>各个专业均有调剂名额，</w:t>
      </w:r>
      <w:r w:rsidRPr="00164E0D">
        <w:rPr>
          <w:rFonts w:asciiTheme="minorEastAsia" w:hAnsiTheme="minorEastAsia" w:hint="eastAsia"/>
          <w:b/>
          <w:sz w:val="28"/>
          <w:szCs w:val="28"/>
        </w:rPr>
        <w:t>真诚欢迎广大学子调剂我院 ！</w:t>
      </w:r>
    </w:p>
    <w:p w:rsidR="00B2684D" w:rsidRPr="00164E0D" w:rsidRDefault="00B2684D" w:rsidP="00B2684D">
      <w:pPr>
        <w:spacing w:line="500" w:lineRule="exact"/>
        <w:ind w:firstLine="570"/>
        <w:rPr>
          <w:rFonts w:asciiTheme="minorEastAsia" w:hAnsiTheme="minorEastAsia"/>
          <w:b/>
          <w:sz w:val="28"/>
          <w:szCs w:val="28"/>
        </w:rPr>
      </w:pPr>
      <w:r w:rsidRPr="00164E0D">
        <w:rPr>
          <w:rFonts w:asciiTheme="minorEastAsia" w:hAnsiTheme="minorEastAsia" w:hint="eastAsia"/>
          <w:b/>
          <w:sz w:val="28"/>
          <w:szCs w:val="28"/>
        </w:rPr>
        <w:t>专业介绍如下：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519"/>
        <w:gridCol w:w="1660"/>
        <w:gridCol w:w="3188"/>
      </w:tblGrid>
      <w:tr w:rsidR="00164E0D" w:rsidRPr="00164E0D" w:rsidTr="000F0131">
        <w:trPr>
          <w:trHeight w:val="910"/>
          <w:jc w:val="center"/>
        </w:trPr>
        <w:tc>
          <w:tcPr>
            <w:tcW w:w="2155" w:type="dxa"/>
            <w:vAlign w:val="center"/>
          </w:tcPr>
          <w:p w:rsidR="00CB5C95" w:rsidRPr="00164E0D" w:rsidRDefault="00CB5C95" w:rsidP="000F0131">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硕士研究生招</w:t>
            </w:r>
          </w:p>
          <w:p w:rsidR="00CB5C95" w:rsidRPr="00164E0D" w:rsidRDefault="00CB5C95" w:rsidP="000F0131">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生专业名称</w:t>
            </w:r>
          </w:p>
        </w:tc>
        <w:tc>
          <w:tcPr>
            <w:tcW w:w="1519" w:type="dxa"/>
            <w:vAlign w:val="center"/>
          </w:tcPr>
          <w:p w:rsidR="00CB5C95" w:rsidRPr="00164E0D" w:rsidRDefault="00CB5C95" w:rsidP="000F0131">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学习方式</w:t>
            </w:r>
          </w:p>
        </w:tc>
        <w:tc>
          <w:tcPr>
            <w:tcW w:w="1660" w:type="dxa"/>
            <w:vAlign w:val="center"/>
          </w:tcPr>
          <w:p w:rsidR="00CB5C95" w:rsidRPr="00164E0D" w:rsidRDefault="00CB5C95" w:rsidP="000F0131">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专业代码</w:t>
            </w:r>
          </w:p>
        </w:tc>
        <w:tc>
          <w:tcPr>
            <w:tcW w:w="3188" w:type="dxa"/>
            <w:vAlign w:val="center"/>
          </w:tcPr>
          <w:p w:rsidR="00CB5C95" w:rsidRPr="00164E0D" w:rsidRDefault="00CB5C95" w:rsidP="000F0131">
            <w:pPr>
              <w:jc w:val="center"/>
              <w:rPr>
                <w:rFonts w:ascii="Calibri" w:eastAsia="宋体" w:hAnsi="Calibri" w:cs="Times New Roman"/>
                <w:b/>
                <w:bCs/>
                <w:sz w:val="24"/>
                <w:szCs w:val="24"/>
              </w:rPr>
            </w:pPr>
            <w:r w:rsidRPr="00164E0D">
              <w:rPr>
                <w:rFonts w:ascii="Calibri" w:eastAsia="宋体" w:hAnsi="Calibri" w:cs="Times New Roman" w:hint="eastAsia"/>
                <w:b/>
                <w:bCs/>
                <w:sz w:val="24"/>
                <w:szCs w:val="24"/>
              </w:rPr>
              <w:t>研究方向</w:t>
            </w:r>
          </w:p>
        </w:tc>
      </w:tr>
      <w:tr w:rsidR="00164E0D" w:rsidRPr="00164E0D" w:rsidTr="000F0131">
        <w:trPr>
          <w:trHeight w:val="910"/>
          <w:jc w:val="center"/>
        </w:trPr>
        <w:tc>
          <w:tcPr>
            <w:tcW w:w="2155" w:type="dxa"/>
            <w:vAlign w:val="center"/>
          </w:tcPr>
          <w:p w:rsidR="00FC7EA3" w:rsidRPr="00164E0D" w:rsidRDefault="00FC7EA3" w:rsidP="000B282A">
            <w:pPr>
              <w:jc w:val="center"/>
              <w:rPr>
                <w:rFonts w:ascii="宋体" w:eastAsia="宋体" w:hAnsi="宋体" w:cs="Times New Roman"/>
                <w:sz w:val="24"/>
                <w:szCs w:val="24"/>
              </w:rPr>
            </w:pPr>
            <w:r w:rsidRPr="00164E0D">
              <w:rPr>
                <w:rFonts w:ascii="宋体" w:eastAsia="宋体" w:hAnsi="宋体" w:cs="Times New Roman" w:hint="eastAsia"/>
                <w:sz w:val="24"/>
                <w:szCs w:val="24"/>
              </w:rPr>
              <w:t>软件工程</w:t>
            </w:r>
          </w:p>
        </w:tc>
        <w:tc>
          <w:tcPr>
            <w:tcW w:w="1519" w:type="dxa"/>
            <w:vAlign w:val="center"/>
          </w:tcPr>
          <w:p w:rsidR="00FC7EA3" w:rsidRPr="00164E0D" w:rsidRDefault="00FC7EA3" w:rsidP="000B282A">
            <w:pPr>
              <w:jc w:val="center"/>
              <w:rPr>
                <w:rFonts w:ascii="宋体" w:eastAsia="宋体" w:hAnsi="宋体" w:cs="Times New Roman"/>
                <w:sz w:val="24"/>
                <w:szCs w:val="24"/>
              </w:rPr>
            </w:pPr>
            <w:r w:rsidRPr="00164E0D">
              <w:rPr>
                <w:rFonts w:ascii="Arial" w:eastAsia="宋体" w:hAnsi="Arial" w:cs="Arial" w:hint="eastAsia"/>
                <w:sz w:val="24"/>
                <w:szCs w:val="24"/>
              </w:rPr>
              <w:t>全日制</w:t>
            </w:r>
          </w:p>
        </w:tc>
        <w:tc>
          <w:tcPr>
            <w:tcW w:w="1660" w:type="dxa"/>
            <w:vAlign w:val="center"/>
          </w:tcPr>
          <w:p w:rsidR="00FC7EA3" w:rsidRPr="00164E0D" w:rsidRDefault="00FC7EA3" w:rsidP="000B282A">
            <w:pPr>
              <w:jc w:val="center"/>
              <w:rPr>
                <w:rFonts w:ascii="宋体" w:eastAsia="宋体" w:hAnsi="宋体" w:cs="Times New Roman"/>
                <w:sz w:val="24"/>
                <w:szCs w:val="24"/>
              </w:rPr>
            </w:pPr>
            <w:r w:rsidRPr="00164E0D">
              <w:rPr>
                <w:rFonts w:ascii="Arial" w:eastAsia="宋体" w:hAnsi="Arial" w:cs="Arial"/>
                <w:sz w:val="24"/>
                <w:szCs w:val="24"/>
              </w:rPr>
              <w:t>083500</w:t>
            </w:r>
          </w:p>
        </w:tc>
        <w:tc>
          <w:tcPr>
            <w:tcW w:w="3188" w:type="dxa"/>
            <w:vAlign w:val="center"/>
          </w:tcPr>
          <w:p w:rsidR="00FC7EA3" w:rsidRPr="00164E0D" w:rsidRDefault="00FC7EA3" w:rsidP="000B282A">
            <w:pPr>
              <w:jc w:val="center"/>
              <w:rPr>
                <w:rFonts w:ascii="Calibri" w:eastAsia="宋体" w:hAnsi="Calibri" w:cs="Times New Roman"/>
                <w:sz w:val="24"/>
                <w:szCs w:val="24"/>
              </w:rPr>
            </w:pPr>
            <w:r w:rsidRPr="00164E0D">
              <w:rPr>
                <w:rFonts w:ascii="Calibri" w:eastAsia="宋体" w:hAnsi="Calibri" w:cs="Times New Roman" w:hint="eastAsia"/>
                <w:sz w:val="24"/>
                <w:szCs w:val="24"/>
              </w:rPr>
              <w:t>不区分研究方向</w:t>
            </w:r>
          </w:p>
        </w:tc>
      </w:tr>
      <w:tr w:rsidR="00164E0D" w:rsidRPr="00164E0D" w:rsidTr="000F0131">
        <w:trPr>
          <w:cantSplit/>
          <w:trHeight w:val="454"/>
          <w:jc w:val="center"/>
        </w:trPr>
        <w:tc>
          <w:tcPr>
            <w:tcW w:w="2155" w:type="dxa"/>
            <w:vMerge w:val="restart"/>
            <w:vAlign w:val="center"/>
          </w:tcPr>
          <w:p w:rsidR="00FC7EA3" w:rsidRPr="00164E0D" w:rsidRDefault="00FC7EA3" w:rsidP="000F0131">
            <w:pPr>
              <w:jc w:val="center"/>
              <w:rPr>
                <w:rFonts w:ascii="宋体" w:eastAsia="宋体" w:hAnsi="宋体" w:cs="Arial"/>
                <w:sz w:val="24"/>
                <w:szCs w:val="24"/>
              </w:rPr>
            </w:pPr>
            <w:r w:rsidRPr="00164E0D">
              <w:rPr>
                <w:rFonts w:ascii="Calibri" w:eastAsia="宋体" w:hAnsi="Calibri" w:cs="Arial" w:hint="eastAsia"/>
                <w:sz w:val="24"/>
                <w:szCs w:val="24"/>
              </w:rPr>
              <w:t>教育技术学</w:t>
            </w:r>
          </w:p>
        </w:tc>
        <w:tc>
          <w:tcPr>
            <w:tcW w:w="1519" w:type="dxa"/>
            <w:vMerge w:val="restart"/>
            <w:vAlign w:val="center"/>
          </w:tcPr>
          <w:p w:rsidR="00FC7EA3" w:rsidRPr="00164E0D" w:rsidRDefault="00FC7EA3" w:rsidP="000F0131">
            <w:pPr>
              <w:jc w:val="center"/>
              <w:rPr>
                <w:rFonts w:ascii="Arial" w:eastAsia="宋体" w:hAnsi="Arial" w:cs="Arial"/>
                <w:sz w:val="24"/>
                <w:szCs w:val="24"/>
              </w:rPr>
            </w:pPr>
            <w:r w:rsidRPr="00164E0D">
              <w:rPr>
                <w:rFonts w:ascii="Arial" w:eastAsia="宋体" w:hAnsi="Arial" w:cs="Arial" w:hint="eastAsia"/>
                <w:sz w:val="24"/>
                <w:szCs w:val="24"/>
              </w:rPr>
              <w:t>全日制</w:t>
            </w:r>
          </w:p>
        </w:tc>
        <w:tc>
          <w:tcPr>
            <w:tcW w:w="1660" w:type="dxa"/>
            <w:vMerge w:val="restart"/>
            <w:vAlign w:val="center"/>
          </w:tcPr>
          <w:p w:rsidR="00FC7EA3" w:rsidRPr="00164E0D" w:rsidRDefault="00FC7EA3" w:rsidP="000F0131">
            <w:pPr>
              <w:jc w:val="center"/>
              <w:rPr>
                <w:rFonts w:ascii="Arial" w:eastAsia="宋体" w:hAnsi="Arial" w:cs="Arial"/>
                <w:sz w:val="24"/>
                <w:szCs w:val="24"/>
              </w:rPr>
            </w:pPr>
            <w:r w:rsidRPr="00164E0D">
              <w:rPr>
                <w:rFonts w:ascii="Arial" w:eastAsia="宋体" w:hAnsi="Arial" w:cs="Arial"/>
                <w:sz w:val="24"/>
                <w:szCs w:val="24"/>
              </w:rPr>
              <w:t>078401</w:t>
            </w:r>
          </w:p>
        </w:tc>
        <w:tc>
          <w:tcPr>
            <w:tcW w:w="3188" w:type="dxa"/>
            <w:vAlign w:val="center"/>
          </w:tcPr>
          <w:p w:rsidR="00FC7EA3" w:rsidRPr="00164E0D" w:rsidRDefault="00FC7EA3" w:rsidP="000F0131">
            <w:pPr>
              <w:jc w:val="center"/>
              <w:rPr>
                <w:rFonts w:ascii="宋体" w:eastAsia="宋体" w:hAnsi="宋体" w:cs="宋体"/>
                <w:sz w:val="24"/>
                <w:szCs w:val="24"/>
              </w:rPr>
            </w:pPr>
            <w:r w:rsidRPr="00164E0D">
              <w:rPr>
                <w:rFonts w:ascii="Calibri" w:eastAsia="宋体" w:hAnsi="Calibri" w:cs="Times New Roman" w:hint="eastAsia"/>
                <w:sz w:val="24"/>
                <w:szCs w:val="24"/>
              </w:rPr>
              <w:t>1.</w:t>
            </w:r>
            <w:r w:rsidRPr="00164E0D">
              <w:rPr>
                <w:rFonts w:ascii="Calibri" w:eastAsia="宋体" w:hAnsi="Calibri" w:cs="Times New Roman" w:hint="eastAsia"/>
                <w:sz w:val="24"/>
                <w:szCs w:val="24"/>
              </w:rPr>
              <w:t>教育软件工程</w:t>
            </w:r>
          </w:p>
        </w:tc>
      </w:tr>
      <w:tr w:rsidR="00164E0D" w:rsidRPr="00164E0D" w:rsidTr="000F0131">
        <w:trPr>
          <w:cantSplit/>
          <w:trHeight w:val="454"/>
          <w:jc w:val="center"/>
        </w:trPr>
        <w:tc>
          <w:tcPr>
            <w:tcW w:w="2155" w:type="dxa"/>
            <w:vMerge/>
            <w:vAlign w:val="center"/>
          </w:tcPr>
          <w:p w:rsidR="00FC7EA3" w:rsidRPr="00164E0D" w:rsidRDefault="00FC7EA3" w:rsidP="000F0131">
            <w:pPr>
              <w:jc w:val="center"/>
              <w:rPr>
                <w:rFonts w:ascii="宋体" w:eastAsia="宋体" w:hAnsi="宋体" w:cs="Times New Roman"/>
                <w:sz w:val="24"/>
                <w:szCs w:val="24"/>
              </w:rPr>
            </w:pPr>
          </w:p>
        </w:tc>
        <w:tc>
          <w:tcPr>
            <w:tcW w:w="1519" w:type="dxa"/>
            <w:vMerge/>
            <w:vAlign w:val="center"/>
          </w:tcPr>
          <w:p w:rsidR="00FC7EA3" w:rsidRPr="00164E0D" w:rsidRDefault="00FC7EA3" w:rsidP="000F0131">
            <w:pPr>
              <w:jc w:val="center"/>
              <w:rPr>
                <w:rFonts w:ascii="宋体" w:eastAsia="宋体" w:hAnsi="宋体" w:cs="Times New Roman"/>
                <w:sz w:val="24"/>
                <w:szCs w:val="24"/>
              </w:rPr>
            </w:pPr>
          </w:p>
        </w:tc>
        <w:tc>
          <w:tcPr>
            <w:tcW w:w="1660" w:type="dxa"/>
            <w:vMerge/>
            <w:vAlign w:val="center"/>
          </w:tcPr>
          <w:p w:rsidR="00FC7EA3" w:rsidRPr="00164E0D" w:rsidRDefault="00FC7EA3" w:rsidP="000F0131">
            <w:pPr>
              <w:jc w:val="center"/>
              <w:rPr>
                <w:rFonts w:ascii="宋体" w:eastAsia="宋体" w:hAnsi="宋体" w:cs="Times New Roman"/>
                <w:sz w:val="24"/>
                <w:szCs w:val="24"/>
              </w:rPr>
            </w:pPr>
          </w:p>
        </w:tc>
        <w:tc>
          <w:tcPr>
            <w:tcW w:w="3188" w:type="dxa"/>
            <w:vAlign w:val="center"/>
          </w:tcPr>
          <w:p w:rsidR="00FC7EA3" w:rsidRPr="00164E0D" w:rsidRDefault="00FC7EA3" w:rsidP="000F0131">
            <w:pPr>
              <w:jc w:val="center"/>
              <w:rPr>
                <w:rFonts w:ascii="宋体" w:eastAsia="宋体" w:hAnsi="宋体" w:cs="宋体"/>
                <w:sz w:val="24"/>
                <w:szCs w:val="24"/>
              </w:rPr>
            </w:pPr>
            <w:r w:rsidRPr="00164E0D">
              <w:rPr>
                <w:rFonts w:ascii="Calibri" w:eastAsia="宋体" w:hAnsi="Calibri" w:cs="Times New Roman" w:hint="eastAsia"/>
                <w:sz w:val="24"/>
                <w:szCs w:val="24"/>
              </w:rPr>
              <w:t>2.</w:t>
            </w:r>
            <w:r w:rsidRPr="00164E0D">
              <w:rPr>
                <w:rFonts w:ascii="Calibri" w:eastAsia="宋体" w:hAnsi="Calibri" w:cs="Times New Roman" w:hint="eastAsia"/>
                <w:sz w:val="24"/>
                <w:szCs w:val="24"/>
              </w:rPr>
              <w:t>职业教育信息化</w:t>
            </w:r>
          </w:p>
        </w:tc>
      </w:tr>
      <w:tr w:rsidR="00164E0D" w:rsidRPr="00164E0D" w:rsidTr="000F0131">
        <w:trPr>
          <w:cantSplit/>
          <w:trHeight w:val="454"/>
          <w:jc w:val="center"/>
        </w:trPr>
        <w:tc>
          <w:tcPr>
            <w:tcW w:w="2155" w:type="dxa"/>
            <w:vMerge/>
            <w:vAlign w:val="center"/>
          </w:tcPr>
          <w:p w:rsidR="00FC7EA3" w:rsidRPr="00164E0D" w:rsidRDefault="00FC7EA3" w:rsidP="000F0131">
            <w:pPr>
              <w:jc w:val="center"/>
              <w:rPr>
                <w:rFonts w:ascii="宋体" w:eastAsia="宋体" w:hAnsi="宋体" w:cs="Times New Roman"/>
                <w:sz w:val="24"/>
                <w:szCs w:val="24"/>
              </w:rPr>
            </w:pPr>
          </w:p>
        </w:tc>
        <w:tc>
          <w:tcPr>
            <w:tcW w:w="1519" w:type="dxa"/>
            <w:vMerge/>
            <w:vAlign w:val="center"/>
          </w:tcPr>
          <w:p w:rsidR="00FC7EA3" w:rsidRPr="00164E0D" w:rsidRDefault="00FC7EA3" w:rsidP="000F0131">
            <w:pPr>
              <w:jc w:val="center"/>
              <w:rPr>
                <w:rFonts w:ascii="宋体" w:eastAsia="宋体" w:hAnsi="宋体" w:cs="Times New Roman"/>
                <w:sz w:val="24"/>
                <w:szCs w:val="24"/>
              </w:rPr>
            </w:pPr>
          </w:p>
        </w:tc>
        <w:tc>
          <w:tcPr>
            <w:tcW w:w="1660" w:type="dxa"/>
            <w:vMerge/>
            <w:vAlign w:val="center"/>
          </w:tcPr>
          <w:p w:rsidR="00FC7EA3" w:rsidRPr="00164E0D" w:rsidRDefault="00FC7EA3" w:rsidP="000F0131">
            <w:pPr>
              <w:jc w:val="center"/>
              <w:rPr>
                <w:rFonts w:ascii="宋体" w:eastAsia="宋体" w:hAnsi="宋体" w:cs="Times New Roman"/>
                <w:sz w:val="24"/>
                <w:szCs w:val="24"/>
              </w:rPr>
            </w:pPr>
          </w:p>
        </w:tc>
        <w:tc>
          <w:tcPr>
            <w:tcW w:w="3188" w:type="dxa"/>
            <w:vAlign w:val="center"/>
          </w:tcPr>
          <w:p w:rsidR="00FC7EA3" w:rsidRPr="00164E0D" w:rsidRDefault="00FC7EA3" w:rsidP="000F0131">
            <w:pPr>
              <w:jc w:val="center"/>
              <w:rPr>
                <w:rFonts w:ascii="宋体" w:eastAsia="宋体" w:hAnsi="宋体" w:cs="宋体"/>
                <w:sz w:val="24"/>
                <w:szCs w:val="24"/>
              </w:rPr>
            </w:pPr>
            <w:r w:rsidRPr="00164E0D">
              <w:rPr>
                <w:rFonts w:ascii="Calibri" w:eastAsia="宋体" w:hAnsi="Calibri" w:cs="Times New Roman" w:hint="eastAsia"/>
                <w:sz w:val="24"/>
                <w:szCs w:val="24"/>
              </w:rPr>
              <w:t>3.</w:t>
            </w:r>
            <w:r w:rsidRPr="00164E0D">
              <w:rPr>
                <w:rFonts w:ascii="Calibri" w:eastAsia="宋体" w:hAnsi="Calibri" w:cs="Times New Roman" w:hint="eastAsia"/>
                <w:sz w:val="24"/>
                <w:szCs w:val="24"/>
              </w:rPr>
              <w:t>数字媒体技术</w:t>
            </w:r>
          </w:p>
        </w:tc>
      </w:tr>
      <w:tr w:rsidR="00164E0D" w:rsidRPr="00164E0D" w:rsidTr="000F0131">
        <w:trPr>
          <w:cantSplit/>
          <w:trHeight w:val="454"/>
          <w:jc w:val="center"/>
        </w:trPr>
        <w:tc>
          <w:tcPr>
            <w:tcW w:w="2155" w:type="dxa"/>
            <w:vAlign w:val="center"/>
          </w:tcPr>
          <w:p w:rsidR="00FC7EA3" w:rsidRPr="00164E0D" w:rsidRDefault="00FC7EA3" w:rsidP="000F0131">
            <w:pPr>
              <w:jc w:val="center"/>
              <w:rPr>
                <w:rFonts w:ascii="Calibri" w:eastAsia="宋体" w:hAnsi="Calibri" w:cs="Arial"/>
                <w:sz w:val="24"/>
                <w:szCs w:val="24"/>
              </w:rPr>
            </w:pPr>
            <w:r w:rsidRPr="00164E0D">
              <w:rPr>
                <w:rFonts w:ascii="Calibri" w:eastAsia="宋体" w:hAnsi="Calibri" w:cs="Arial" w:hint="eastAsia"/>
                <w:sz w:val="24"/>
                <w:szCs w:val="24"/>
              </w:rPr>
              <w:t>职业技术教育</w:t>
            </w:r>
          </w:p>
          <w:p w:rsidR="00FC7EA3" w:rsidRPr="00164E0D" w:rsidRDefault="00FC7EA3" w:rsidP="000F0131">
            <w:pPr>
              <w:jc w:val="center"/>
              <w:rPr>
                <w:rFonts w:ascii="Calibri" w:eastAsia="宋体" w:hAnsi="Calibri" w:cs="Arial"/>
                <w:sz w:val="24"/>
                <w:szCs w:val="24"/>
              </w:rPr>
            </w:pPr>
            <w:r w:rsidRPr="00164E0D">
              <w:rPr>
                <w:rFonts w:ascii="Calibri" w:eastAsia="宋体" w:hAnsi="Calibri" w:cs="Arial" w:hint="eastAsia"/>
                <w:sz w:val="24"/>
                <w:szCs w:val="24"/>
              </w:rPr>
              <w:t>（专业学位）</w:t>
            </w:r>
          </w:p>
        </w:tc>
        <w:tc>
          <w:tcPr>
            <w:tcW w:w="1519" w:type="dxa"/>
            <w:vAlign w:val="center"/>
          </w:tcPr>
          <w:p w:rsidR="00FC7EA3" w:rsidRPr="00164E0D" w:rsidRDefault="00FC7EA3" w:rsidP="000F0131">
            <w:pPr>
              <w:jc w:val="center"/>
              <w:rPr>
                <w:rFonts w:ascii="Arial" w:eastAsia="宋体" w:hAnsi="Arial" w:cs="Arial"/>
                <w:sz w:val="24"/>
                <w:szCs w:val="24"/>
              </w:rPr>
            </w:pPr>
            <w:r w:rsidRPr="00164E0D">
              <w:rPr>
                <w:rFonts w:ascii="Arial" w:eastAsia="宋体" w:hAnsi="Arial" w:cs="Arial" w:hint="eastAsia"/>
                <w:sz w:val="24"/>
                <w:szCs w:val="24"/>
              </w:rPr>
              <w:t>全日制</w:t>
            </w:r>
          </w:p>
        </w:tc>
        <w:tc>
          <w:tcPr>
            <w:tcW w:w="1660" w:type="dxa"/>
            <w:vAlign w:val="center"/>
          </w:tcPr>
          <w:p w:rsidR="00FC7EA3" w:rsidRPr="00164E0D" w:rsidRDefault="00FC7EA3" w:rsidP="000F0131">
            <w:pPr>
              <w:jc w:val="center"/>
              <w:rPr>
                <w:rFonts w:ascii="Calibri" w:eastAsia="宋体" w:hAnsi="Calibri" w:cs="Arial"/>
                <w:sz w:val="24"/>
                <w:szCs w:val="24"/>
              </w:rPr>
            </w:pPr>
            <w:r w:rsidRPr="00164E0D">
              <w:rPr>
                <w:rFonts w:ascii="Arial" w:eastAsia="宋体" w:hAnsi="Arial" w:cs="Arial" w:hint="eastAsia"/>
                <w:sz w:val="24"/>
                <w:szCs w:val="24"/>
              </w:rPr>
              <w:t>045120</w:t>
            </w:r>
          </w:p>
        </w:tc>
        <w:tc>
          <w:tcPr>
            <w:tcW w:w="3188" w:type="dxa"/>
            <w:vAlign w:val="center"/>
          </w:tcPr>
          <w:p w:rsidR="00FC7EA3" w:rsidRPr="00164E0D" w:rsidRDefault="00FC7EA3" w:rsidP="000F0131">
            <w:pPr>
              <w:ind w:firstLineChars="100" w:firstLine="240"/>
              <w:jc w:val="center"/>
              <w:rPr>
                <w:rFonts w:ascii="Calibri" w:eastAsia="宋体" w:hAnsi="Calibri" w:cs="Times New Roman"/>
                <w:sz w:val="24"/>
                <w:szCs w:val="24"/>
              </w:rPr>
            </w:pPr>
            <w:r w:rsidRPr="00164E0D">
              <w:rPr>
                <w:rFonts w:ascii="Calibri" w:eastAsia="宋体" w:hAnsi="Calibri" w:cs="Times New Roman" w:hint="eastAsia"/>
                <w:sz w:val="24"/>
                <w:szCs w:val="24"/>
              </w:rPr>
              <w:t>信息技术方向</w:t>
            </w:r>
          </w:p>
        </w:tc>
      </w:tr>
    </w:tbl>
    <w:p w:rsidR="00BC6553" w:rsidRPr="00164E0D" w:rsidRDefault="00A34F1A" w:rsidP="00B2684D">
      <w:pPr>
        <w:spacing w:line="480" w:lineRule="auto"/>
        <w:rPr>
          <w:rFonts w:asciiTheme="minorEastAsia" w:hAnsiTheme="minorEastAsia"/>
          <w:b/>
          <w:sz w:val="28"/>
          <w:szCs w:val="28"/>
        </w:rPr>
      </w:pPr>
      <w:r w:rsidRPr="00164E0D">
        <w:rPr>
          <w:rFonts w:asciiTheme="minorEastAsia" w:hAnsiTheme="minorEastAsia" w:hint="eastAsia"/>
          <w:b/>
          <w:sz w:val="28"/>
          <w:szCs w:val="28"/>
        </w:rPr>
        <w:t>联系人：荆老师</w:t>
      </w:r>
      <w:r w:rsidR="00CB5C95" w:rsidRPr="00164E0D">
        <w:rPr>
          <w:rFonts w:asciiTheme="minorEastAsia" w:hAnsiTheme="minorEastAsia" w:hint="eastAsia"/>
          <w:b/>
          <w:sz w:val="28"/>
          <w:szCs w:val="28"/>
        </w:rPr>
        <w:t xml:space="preserve">    </w:t>
      </w:r>
    </w:p>
    <w:p w:rsidR="00A34F1A" w:rsidRPr="00164E0D" w:rsidRDefault="00A34F1A" w:rsidP="00B2684D">
      <w:pPr>
        <w:spacing w:line="480" w:lineRule="auto"/>
        <w:rPr>
          <w:rFonts w:asciiTheme="minorEastAsia" w:hAnsiTheme="minorEastAsia"/>
          <w:b/>
          <w:sz w:val="28"/>
          <w:szCs w:val="28"/>
        </w:rPr>
      </w:pPr>
      <w:r w:rsidRPr="00164E0D">
        <w:rPr>
          <w:rFonts w:asciiTheme="minorEastAsia" w:hAnsiTheme="minorEastAsia" w:hint="eastAsia"/>
          <w:b/>
          <w:sz w:val="28"/>
          <w:szCs w:val="28"/>
        </w:rPr>
        <w:t>联系电话：022-88181055,15222412285</w:t>
      </w:r>
    </w:p>
    <w:p w:rsidR="00A34F1A" w:rsidRPr="00164E0D" w:rsidRDefault="00A34F1A" w:rsidP="00B2684D">
      <w:pPr>
        <w:spacing w:line="480" w:lineRule="auto"/>
        <w:rPr>
          <w:rFonts w:asciiTheme="minorEastAsia" w:hAnsiTheme="minorEastAsia"/>
          <w:b/>
          <w:sz w:val="28"/>
          <w:szCs w:val="28"/>
        </w:rPr>
      </w:pPr>
      <w:r w:rsidRPr="00164E0D">
        <w:rPr>
          <w:rFonts w:asciiTheme="minorEastAsia" w:hAnsiTheme="minorEastAsia" w:hint="eastAsia"/>
          <w:b/>
          <w:sz w:val="28"/>
          <w:szCs w:val="28"/>
        </w:rPr>
        <w:t>QQ:50194160  邮箱：</w:t>
      </w:r>
      <w:hyperlink r:id="rId7" w:history="1">
        <w:r w:rsidR="00F762F9" w:rsidRPr="00164E0D">
          <w:rPr>
            <w:rStyle w:val="a7"/>
            <w:rFonts w:asciiTheme="minorEastAsia" w:hAnsiTheme="minorEastAsia" w:hint="eastAsia"/>
            <w:b/>
            <w:color w:val="auto"/>
            <w:sz w:val="28"/>
            <w:szCs w:val="28"/>
          </w:rPr>
          <w:t>jingfeifei86@126.com</w:t>
        </w:r>
      </w:hyperlink>
    </w:p>
    <w:p w:rsidR="00F762F9" w:rsidRPr="00164E0D" w:rsidRDefault="00F762F9" w:rsidP="00B2684D">
      <w:pPr>
        <w:spacing w:line="480" w:lineRule="auto"/>
        <w:rPr>
          <w:rFonts w:asciiTheme="minorEastAsia" w:hAnsiTheme="minorEastAsia"/>
          <w:b/>
          <w:sz w:val="28"/>
          <w:szCs w:val="28"/>
        </w:rPr>
      </w:pPr>
    </w:p>
    <w:p w:rsidR="00B2684D" w:rsidRPr="00164E0D" w:rsidRDefault="00A34F1A" w:rsidP="000D3B57">
      <w:pPr>
        <w:spacing w:line="480" w:lineRule="auto"/>
        <w:rPr>
          <w:rFonts w:asciiTheme="minorEastAsia" w:hAnsiTheme="minorEastAsia"/>
          <w:b/>
          <w:sz w:val="28"/>
          <w:szCs w:val="28"/>
        </w:rPr>
      </w:pPr>
      <w:r w:rsidRPr="00164E0D">
        <w:rPr>
          <w:rFonts w:asciiTheme="minorEastAsia" w:hAnsiTheme="minorEastAsia" w:hint="eastAsia"/>
          <w:b/>
          <w:sz w:val="28"/>
          <w:szCs w:val="28"/>
        </w:rPr>
        <w:t>201</w:t>
      </w:r>
      <w:r w:rsidR="00FC7EA3" w:rsidRPr="00164E0D">
        <w:rPr>
          <w:rFonts w:asciiTheme="minorEastAsia" w:hAnsiTheme="minorEastAsia" w:hint="eastAsia"/>
          <w:b/>
          <w:sz w:val="28"/>
          <w:szCs w:val="28"/>
        </w:rPr>
        <w:t>9</w:t>
      </w:r>
      <w:r w:rsidRPr="00164E0D">
        <w:rPr>
          <w:rFonts w:asciiTheme="minorEastAsia" w:hAnsiTheme="minorEastAsia" w:hint="eastAsia"/>
          <w:b/>
          <w:sz w:val="28"/>
          <w:szCs w:val="28"/>
        </w:rPr>
        <w:t>年全日制硕士研究生招生相关文件请登录天津职业技术师范大学研究生处网站（http://yjsh.tute.edu.cn/index.htm）或登录天津职业技术师范大学信息技术工程学院、软件工程学院网站（</w:t>
      </w:r>
      <w:r w:rsidRPr="00164E0D">
        <w:rPr>
          <w:rFonts w:asciiTheme="minorEastAsia" w:hAnsiTheme="minorEastAsia"/>
          <w:b/>
          <w:sz w:val="28"/>
          <w:szCs w:val="28"/>
        </w:rPr>
        <w:t>http://xxxy.tute.edu.cn/index.htm</w:t>
      </w:r>
      <w:r w:rsidRPr="00164E0D">
        <w:rPr>
          <w:rFonts w:asciiTheme="minorEastAsia" w:hAnsiTheme="minorEastAsia" w:hint="eastAsia"/>
          <w:b/>
          <w:sz w:val="28"/>
          <w:szCs w:val="28"/>
        </w:rPr>
        <w:t>）查询。</w:t>
      </w:r>
    </w:p>
    <w:sectPr w:rsidR="00B2684D" w:rsidRPr="00164E0D" w:rsidSect="00392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8F" w:rsidRDefault="0076498F" w:rsidP="00A34F1A">
      <w:r>
        <w:separator/>
      </w:r>
    </w:p>
  </w:endnote>
  <w:endnote w:type="continuationSeparator" w:id="0">
    <w:p w:rsidR="0076498F" w:rsidRDefault="0076498F" w:rsidP="00A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8F" w:rsidRDefault="0076498F" w:rsidP="00A34F1A">
      <w:r>
        <w:separator/>
      </w:r>
    </w:p>
  </w:footnote>
  <w:footnote w:type="continuationSeparator" w:id="0">
    <w:p w:rsidR="0076498F" w:rsidRDefault="0076498F" w:rsidP="00A3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1A"/>
    <w:rsid w:val="00044D18"/>
    <w:rsid w:val="00060761"/>
    <w:rsid w:val="000D3B57"/>
    <w:rsid w:val="000E0BD9"/>
    <w:rsid w:val="00164E0D"/>
    <w:rsid w:val="001D7023"/>
    <w:rsid w:val="001F20A3"/>
    <w:rsid w:val="00284BA6"/>
    <w:rsid w:val="00384DDF"/>
    <w:rsid w:val="00392998"/>
    <w:rsid w:val="00392F57"/>
    <w:rsid w:val="003D4DF7"/>
    <w:rsid w:val="004C51B4"/>
    <w:rsid w:val="00510649"/>
    <w:rsid w:val="005F488D"/>
    <w:rsid w:val="00706624"/>
    <w:rsid w:val="0076498F"/>
    <w:rsid w:val="00792A53"/>
    <w:rsid w:val="0087487B"/>
    <w:rsid w:val="00932881"/>
    <w:rsid w:val="00934562"/>
    <w:rsid w:val="00955AD5"/>
    <w:rsid w:val="00A30656"/>
    <w:rsid w:val="00A34F1A"/>
    <w:rsid w:val="00A84A78"/>
    <w:rsid w:val="00AF4575"/>
    <w:rsid w:val="00B2684D"/>
    <w:rsid w:val="00BC5180"/>
    <w:rsid w:val="00BC6553"/>
    <w:rsid w:val="00CB5C95"/>
    <w:rsid w:val="00CE64F8"/>
    <w:rsid w:val="00E90CC5"/>
    <w:rsid w:val="00EA75C1"/>
    <w:rsid w:val="00EB0C86"/>
    <w:rsid w:val="00F61FB0"/>
    <w:rsid w:val="00F762F9"/>
    <w:rsid w:val="00FC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F1A"/>
    <w:rPr>
      <w:sz w:val="18"/>
      <w:szCs w:val="18"/>
    </w:rPr>
  </w:style>
  <w:style w:type="paragraph" w:styleId="a4">
    <w:name w:val="footer"/>
    <w:basedOn w:val="a"/>
    <w:link w:val="Char0"/>
    <w:uiPriority w:val="99"/>
    <w:semiHidden/>
    <w:unhideWhenUsed/>
    <w:rsid w:val="00A34F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F1A"/>
    <w:rPr>
      <w:sz w:val="18"/>
      <w:szCs w:val="18"/>
    </w:rPr>
  </w:style>
  <w:style w:type="paragraph" w:styleId="a5">
    <w:name w:val="Normal (Web)"/>
    <w:basedOn w:val="a"/>
    <w:uiPriority w:val="99"/>
    <w:unhideWhenUsed/>
    <w:rsid w:val="00A34F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4DF7"/>
    <w:rPr>
      <w:b/>
      <w:bCs/>
    </w:rPr>
  </w:style>
  <w:style w:type="character" w:styleId="a7">
    <w:name w:val="Hyperlink"/>
    <w:basedOn w:val="a0"/>
    <w:uiPriority w:val="99"/>
    <w:unhideWhenUsed/>
    <w:rsid w:val="00F76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F1A"/>
    <w:rPr>
      <w:sz w:val="18"/>
      <w:szCs w:val="18"/>
    </w:rPr>
  </w:style>
  <w:style w:type="paragraph" w:styleId="a4">
    <w:name w:val="footer"/>
    <w:basedOn w:val="a"/>
    <w:link w:val="Char0"/>
    <w:uiPriority w:val="99"/>
    <w:semiHidden/>
    <w:unhideWhenUsed/>
    <w:rsid w:val="00A34F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F1A"/>
    <w:rPr>
      <w:sz w:val="18"/>
      <w:szCs w:val="18"/>
    </w:rPr>
  </w:style>
  <w:style w:type="paragraph" w:styleId="a5">
    <w:name w:val="Normal (Web)"/>
    <w:basedOn w:val="a"/>
    <w:uiPriority w:val="99"/>
    <w:unhideWhenUsed/>
    <w:rsid w:val="00A34F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4DF7"/>
    <w:rPr>
      <w:b/>
      <w:bCs/>
    </w:rPr>
  </w:style>
  <w:style w:type="character" w:styleId="a7">
    <w:name w:val="Hyperlink"/>
    <w:basedOn w:val="a0"/>
    <w:uiPriority w:val="99"/>
    <w:unhideWhenUsed/>
    <w:rsid w:val="00F76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316">
      <w:bodyDiv w:val="1"/>
      <w:marLeft w:val="0"/>
      <w:marRight w:val="0"/>
      <w:marTop w:val="0"/>
      <w:marBottom w:val="0"/>
      <w:divBdr>
        <w:top w:val="none" w:sz="0" w:space="0" w:color="auto"/>
        <w:left w:val="none" w:sz="0" w:space="0" w:color="auto"/>
        <w:bottom w:val="none" w:sz="0" w:space="0" w:color="auto"/>
        <w:right w:val="none" w:sz="0" w:space="0" w:color="auto"/>
      </w:divBdr>
      <w:divsChild>
        <w:div w:id="1868525452">
          <w:marLeft w:val="0"/>
          <w:marRight w:val="0"/>
          <w:marTop w:val="0"/>
          <w:marBottom w:val="0"/>
          <w:divBdr>
            <w:top w:val="none" w:sz="0" w:space="0" w:color="auto"/>
            <w:left w:val="none" w:sz="0" w:space="0" w:color="auto"/>
            <w:bottom w:val="none" w:sz="0" w:space="0" w:color="auto"/>
            <w:right w:val="none" w:sz="0" w:space="0" w:color="auto"/>
          </w:divBdr>
          <w:divsChild>
            <w:div w:id="1799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0064">
      <w:bodyDiv w:val="1"/>
      <w:marLeft w:val="0"/>
      <w:marRight w:val="0"/>
      <w:marTop w:val="0"/>
      <w:marBottom w:val="0"/>
      <w:divBdr>
        <w:top w:val="none" w:sz="0" w:space="0" w:color="auto"/>
        <w:left w:val="none" w:sz="0" w:space="0" w:color="auto"/>
        <w:bottom w:val="none" w:sz="0" w:space="0" w:color="auto"/>
        <w:right w:val="none" w:sz="0" w:space="0" w:color="auto"/>
      </w:divBdr>
      <w:divsChild>
        <w:div w:id="1220551523">
          <w:marLeft w:val="0"/>
          <w:marRight w:val="0"/>
          <w:marTop w:val="0"/>
          <w:marBottom w:val="0"/>
          <w:divBdr>
            <w:top w:val="none" w:sz="0" w:space="0" w:color="auto"/>
            <w:left w:val="none" w:sz="0" w:space="0" w:color="auto"/>
            <w:bottom w:val="none" w:sz="0" w:space="0" w:color="auto"/>
            <w:right w:val="none" w:sz="0" w:space="0" w:color="auto"/>
          </w:divBdr>
        </w:div>
      </w:divsChild>
    </w:div>
    <w:div w:id="280769085">
      <w:bodyDiv w:val="1"/>
      <w:marLeft w:val="0"/>
      <w:marRight w:val="0"/>
      <w:marTop w:val="0"/>
      <w:marBottom w:val="0"/>
      <w:divBdr>
        <w:top w:val="none" w:sz="0" w:space="0" w:color="auto"/>
        <w:left w:val="none" w:sz="0" w:space="0" w:color="auto"/>
        <w:bottom w:val="none" w:sz="0" w:space="0" w:color="auto"/>
        <w:right w:val="none" w:sz="0" w:space="0" w:color="auto"/>
      </w:divBdr>
      <w:divsChild>
        <w:div w:id="279267691">
          <w:marLeft w:val="0"/>
          <w:marRight w:val="0"/>
          <w:marTop w:val="0"/>
          <w:marBottom w:val="0"/>
          <w:divBdr>
            <w:top w:val="none" w:sz="0" w:space="0" w:color="auto"/>
            <w:left w:val="none" w:sz="0" w:space="0" w:color="auto"/>
            <w:bottom w:val="none" w:sz="0" w:space="0" w:color="auto"/>
            <w:right w:val="none" w:sz="0" w:space="0" w:color="auto"/>
          </w:divBdr>
          <w:divsChild>
            <w:div w:id="1831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8311">
      <w:bodyDiv w:val="1"/>
      <w:marLeft w:val="0"/>
      <w:marRight w:val="0"/>
      <w:marTop w:val="0"/>
      <w:marBottom w:val="0"/>
      <w:divBdr>
        <w:top w:val="none" w:sz="0" w:space="0" w:color="auto"/>
        <w:left w:val="none" w:sz="0" w:space="0" w:color="auto"/>
        <w:bottom w:val="none" w:sz="0" w:space="0" w:color="auto"/>
        <w:right w:val="none" w:sz="0" w:space="0" w:color="auto"/>
      </w:divBdr>
      <w:divsChild>
        <w:div w:id="1738094621">
          <w:marLeft w:val="0"/>
          <w:marRight w:val="0"/>
          <w:marTop w:val="0"/>
          <w:marBottom w:val="0"/>
          <w:divBdr>
            <w:top w:val="none" w:sz="0" w:space="0" w:color="auto"/>
            <w:left w:val="none" w:sz="0" w:space="0" w:color="auto"/>
            <w:bottom w:val="none" w:sz="0" w:space="0" w:color="auto"/>
            <w:right w:val="none" w:sz="0" w:space="0" w:color="auto"/>
          </w:divBdr>
          <w:divsChild>
            <w:div w:id="1977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8694">
      <w:bodyDiv w:val="1"/>
      <w:marLeft w:val="0"/>
      <w:marRight w:val="0"/>
      <w:marTop w:val="0"/>
      <w:marBottom w:val="0"/>
      <w:divBdr>
        <w:top w:val="none" w:sz="0" w:space="0" w:color="auto"/>
        <w:left w:val="none" w:sz="0" w:space="0" w:color="auto"/>
        <w:bottom w:val="none" w:sz="0" w:space="0" w:color="auto"/>
        <w:right w:val="none" w:sz="0" w:space="0" w:color="auto"/>
      </w:divBdr>
      <w:divsChild>
        <w:div w:id="1583174207">
          <w:marLeft w:val="0"/>
          <w:marRight w:val="0"/>
          <w:marTop w:val="0"/>
          <w:marBottom w:val="0"/>
          <w:divBdr>
            <w:top w:val="none" w:sz="0" w:space="0" w:color="auto"/>
            <w:left w:val="none" w:sz="0" w:space="0" w:color="auto"/>
            <w:bottom w:val="none" w:sz="0" w:space="0" w:color="auto"/>
            <w:right w:val="none" w:sz="0" w:space="0" w:color="auto"/>
          </w:divBdr>
          <w:divsChild>
            <w:div w:id="15972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556">
      <w:bodyDiv w:val="1"/>
      <w:marLeft w:val="0"/>
      <w:marRight w:val="0"/>
      <w:marTop w:val="0"/>
      <w:marBottom w:val="0"/>
      <w:divBdr>
        <w:top w:val="none" w:sz="0" w:space="0" w:color="auto"/>
        <w:left w:val="none" w:sz="0" w:space="0" w:color="auto"/>
        <w:bottom w:val="none" w:sz="0" w:space="0" w:color="auto"/>
        <w:right w:val="none" w:sz="0" w:space="0" w:color="auto"/>
      </w:divBdr>
      <w:divsChild>
        <w:div w:id="842085161">
          <w:marLeft w:val="0"/>
          <w:marRight w:val="0"/>
          <w:marTop w:val="0"/>
          <w:marBottom w:val="0"/>
          <w:divBdr>
            <w:top w:val="none" w:sz="0" w:space="0" w:color="auto"/>
            <w:left w:val="none" w:sz="0" w:space="0" w:color="auto"/>
            <w:bottom w:val="none" w:sz="0" w:space="0" w:color="auto"/>
            <w:right w:val="none" w:sz="0" w:space="0" w:color="auto"/>
          </w:divBdr>
          <w:divsChild>
            <w:div w:id="12512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4306">
      <w:bodyDiv w:val="1"/>
      <w:marLeft w:val="0"/>
      <w:marRight w:val="0"/>
      <w:marTop w:val="0"/>
      <w:marBottom w:val="0"/>
      <w:divBdr>
        <w:top w:val="none" w:sz="0" w:space="0" w:color="auto"/>
        <w:left w:val="none" w:sz="0" w:space="0" w:color="auto"/>
        <w:bottom w:val="none" w:sz="0" w:space="0" w:color="auto"/>
        <w:right w:val="none" w:sz="0" w:space="0" w:color="auto"/>
      </w:divBdr>
      <w:divsChild>
        <w:div w:id="1008141923">
          <w:marLeft w:val="0"/>
          <w:marRight w:val="0"/>
          <w:marTop w:val="0"/>
          <w:marBottom w:val="0"/>
          <w:divBdr>
            <w:top w:val="none" w:sz="0" w:space="0" w:color="auto"/>
            <w:left w:val="none" w:sz="0" w:space="0" w:color="auto"/>
            <w:bottom w:val="none" w:sz="0" w:space="0" w:color="auto"/>
            <w:right w:val="none" w:sz="0" w:space="0" w:color="auto"/>
          </w:divBdr>
          <w:divsChild>
            <w:div w:id="7540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365">
      <w:bodyDiv w:val="1"/>
      <w:marLeft w:val="0"/>
      <w:marRight w:val="0"/>
      <w:marTop w:val="0"/>
      <w:marBottom w:val="0"/>
      <w:divBdr>
        <w:top w:val="none" w:sz="0" w:space="0" w:color="auto"/>
        <w:left w:val="none" w:sz="0" w:space="0" w:color="auto"/>
        <w:bottom w:val="none" w:sz="0" w:space="0" w:color="auto"/>
        <w:right w:val="none" w:sz="0" w:space="0" w:color="auto"/>
      </w:divBdr>
      <w:divsChild>
        <w:div w:id="1815175501">
          <w:marLeft w:val="0"/>
          <w:marRight w:val="0"/>
          <w:marTop w:val="0"/>
          <w:marBottom w:val="0"/>
          <w:divBdr>
            <w:top w:val="none" w:sz="0" w:space="0" w:color="auto"/>
            <w:left w:val="none" w:sz="0" w:space="0" w:color="auto"/>
            <w:bottom w:val="none" w:sz="0" w:space="0" w:color="auto"/>
            <w:right w:val="none" w:sz="0" w:space="0" w:color="auto"/>
          </w:divBdr>
          <w:divsChild>
            <w:div w:id="920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3049">
      <w:bodyDiv w:val="1"/>
      <w:marLeft w:val="0"/>
      <w:marRight w:val="0"/>
      <w:marTop w:val="0"/>
      <w:marBottom w:val="0"/>
      <w:divBdr>
        <w:top w:val="none" w:sz="0" w:space="0" w:color="auto"/>
        <w:left w:val="none" w:sz="0" w:space="0" w:color="auto"/>
        <w:bottom w:val="none" w:sz="0" w:space="0" w:color="auto"/>
        <w:right w:val="none" w:sz="0" w:space="0" w:color="auto"/>
      </w:divBdr>
      <w:divsChild>
        <w:div w:id="286854554">
          <w:marLeft w:val="0"/>
          <w:marRight w:val="0"/>
          <w:marTop w:val="0"/>
          <w:marBottom w:val="0"/>
          <w:divBdr>
            <w:top w:val="none" w:sz="0" w:space="0" w:color="auto"/>
            <w:left w:val="none" w:sz="0" w:space="0" w:color="auto"/>
            <w:bottom w:val="none" w:sz="0" w:space="0" w:color="auto"/>
            <w:right w:val="none" w:sz="0" w:space="0" w:color="auto"/>
          </w:divBdr>
          <w:divsChild>
            <w:div w:id="15280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0028">
      <w:bodyDiv w:val="1"/>
      <w:marLeft w:val="0"/>
      <w:marRight w:val="0"/>
      <w:marTop w:val="0"/>
      <w:marBottom w:val="0"/>
      <w:divBdr>
        <w:top w:val="none" w:sz="0" w:space="0" w:color="auto"/>
        <w:left w:val="none" w:sz="0" w:space="0" w:color="auto"/>
        <w:bottom w:val="none" w:sz="0" w:space="0" w:color="auto"/>
        <w:right w:val="none" w:sz="0" w:space="0" w:color="auto"/>
      </w:divBdr>
      <w:divsChild>
        <w:div w:id="440801022">
          <w:marLeft w:val="0"/>
          <w:marRight w:val="0"/>
          <w:marTop w:val="0"/>
          <w:marBottom w:val="0"/>
          <w:divBdr>
            <w:top w:val="none" w:sz="0" w:space="0" w:color="auto"/>
            <w:left w:val="none" w:sz="0" w:space="0" w:color="auto"/>
            <w:bottom w:val="none" w:sz="0" w:space="0" w:color="auto"/>
            <w:right w:val="none" w:sz="0" w:space="0" w:color="auto"/>
          </w:divBdr>
          <w:divsChild>
            <w:div w:id="251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ngfeifei86@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427</Words>
  <Characters>2436</Characters>
  <Application>Microsoft Office Word</Application>
  <DocSecurity>0</DocSecurity>
  <Lines>20</Lines>
  <Paragraphs>5</Paragraphs>
  <ScaleCrop>false</ScaleCrop>
  <Company>StartOS Win7 SP1装机版 V2015</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18</cp:revision>
  <dcterms:created xsi:type="dcterms:W3CDTF">2017-03-15T00:57:00Z</dcterms:created>
  <dcterms:modified xsi:type="dcterms:W3CDTF">2019-03-07T02:08:00Z</dcterms:modified>
</cp:coreProperties>
</file>